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48"/>
          <w:szCs w:val="36"/>
        </w:rPr>
      </w:pPr>
      <w:r>
        <w:rPr>
          <w:rFonts w:hint="eastAsia" w:ascii="Times New Roman" w:hAnsi="Times New Roman" w:eastAsia="宋体" w:cs="Times New Roman"/>
          <w:b/>
          <w:sz w:val="48"/>
          <w:szCs w:val="36"/>
          <w:lang w:eastAsia="zh-CN"/>
        </w:rPr>
        <w:t>南通利奥化工科技有限公司</w:t>
      </w:r>
      <w:r>
        <w:rPr>
          <w:rFonts w:hint="eastAsia" w:ascii="Times New Roman" w:hAnsi="Times New Roman" w:eastAsia="宋体" w:cs="Times New Roman"/>
          <w:b/>
          <w:sz w:val="48"/>
          <w:szCs w:val="36"/>
          <w:lang w:val="en-US" w:eastAsia="zh-CN"/>
        </w:rPr>
        <w:t>用</w:t>
      </w:r>
      <w:r>
        <w:rPr>
          <w:rFonts w:ascii="Times New Roman" w:hAnsi="Times New Roman" w:eastAsia="宋体" w:cs="Times New Roman"/>
          <w:b/>
          <w:sz w:val="48"/>
          <w:szCs w:val="36"/>
        </w:rPr>
        <w:t>地</w:t>
      </w:r>
    </w:p>
    <w:p>
      <w:pPr>
        <w:spacing w:line="360" w:lineRule="auto"/>
        <w:jc w:val="center"/>
        <w:rPr>
          <w:rFonts w:hint="eastAsia" w:ascii="Times New Roman" w:hAnsi="Times New Roman" w:eastAsia="宋体" w:cs="Times New Roman"/>
          <w:b/>
          <w:sz w:val="48"/>
          <w:szCs w:val="36"/>
          <w:lang w:eastAsia="zh-CN"/>
        </w:rPr>
      </w:pPr>
      <w:r>
        <w:rPr>
          <w:rFonts w:ascii="Times New Roman" w:hAnsi="Times New Roman" w:eastAsia="宋体" w:cs="Times New Roman"/>
          <w:b/>
          <w:sz w:val="48"/>
          <w:szCs w:val="36"/>
        </w:rPr>
        <w:t>土壤及地下水自行监测</w:t>
      </w:r>
      <w:r>
        <w:rPr>
          <w:rFonts w:hint="eastAsia" w:ascii="Times New Roman" w:hAnsi="Times New Roman" w:eastAsia="宋体" w:cs="Times New Roman"/>
          <w:b/>
          <w:sz w:val="48"/>
          <w:szCs w:val="36"/>
          <w:lang w:val="en-US" w:eastAsia="zh-CN"/>
        </w:rPr>
        <w:t>报告</w:t>
      </w: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jc w:val="center"/>
        <w:rPr>
          <w:rFonts w:ascii="Times New Roman" w:hAnsi="Times New Roman" w:eastAsia="宋体" w:cs="Times New Roman"/>
          <w:b/>
          <w:sz w:val="32"/>
          <w:szCs w:val="32"/>
        </w:rPr>
      </w:pPr>
    </w:p>
    <w:p>
      <w:pPr>
        <w:spacing w:line="360" w:lineRule="auto"/>
        <w:rPr>
          <w:rFonts w:ascii="Times New Roman" w:hAnsi="Times New Roman" w:eastAsia="宋体" w:cs="Times New Roman"/>
          <w:b/>
          <w:sz w:val="30"/>
          <w:szCs w:val="30"/>
        </w:rPr>
      </w:pPr>
    </w:p>
    <w:p>
      <w:pPr>
        <w:spacing w:line="360" w:lineRule="auto"/>
        <w:jc w:val="center"/>
        <w:rPr>
          <w:rFonts w:hint="eastAsia" w:ascii="Times New Roman" w:hAnsi="Times New Roman" w:eastAsia="宋体" w:cs="Times New Roman"/>
          <w:b/>
          <w:sz w:val="30"/>
          <w:szCs w:val="30"/>
          <w:lang w:eastAsia="zh-CN"/>
        </w:rPr>
      </w:pPr>
      <w:r>
        <w:rPr>
          <w:rFonts w:hint="eastAsia" w:ascii="Times New Roman" w:hAnsi="Times New Roman" w:eastAsia="宋体" w:cs="Times New Roman"/>
          <w:b/>
          <w:sz w:val="30"/>
          <w:szCs w:val="30"/>
          <w:lang w:val="en-US" w:eastAsia="zh-CN"/>
        </w:rPr>
        <w:t>编制单位：南通利奥化工科技有限公司</w:t>
      </w:r>
    </w:p>
    <w:p>
      <w:pPr>
        <w:spacing w:line="360" w:lineRule="auto"/>
        <w:jc w:val="center"/>
        <w:rPr>
          <w:rFonts w:ascii="Times New Roman" w:hAnsi="Times New Roman" w:eastAsia="宋体" w:cs="Times New Roman"/>
          <w:b/>
          <w:sz w:val="30"/>
          <w:szCs w:val="30"/>
        </w:rPr>
      </w:pPr>
      <w:r>
        <w:rPr>
          <w:rFonts w:ascii="Times New Roman" w:hAnsi="Times New Roman" w:eastAsia="宋体" w:cs="Times New Roman"/>
          <w:b/>
          <w:sz w:val="30"/>
          <w:szCs w:val="30"/>
        </w:rPr>
        <w:t>二零二</w:t>
      </w:r>
      <w:r>
        <w:rPr>
          <w:rFonts w:hint="eastAsia" w:ascii="Times New Roman" w:hAnsi="Times New Roman" w:eastAsia="宋体" w:cs="Times New Roman"/>
          <w:b/>
          <w:sz w:val="30"/>
          <w:szCs w:val="30"/>
          <w:lang w:val="en-US" w:eastAsia="zh-CN"/>
        </w:rPr>
        <w:t>一</w:t>
      </w:r>
      <w:r>
        <w:rPr>
          <w:rFonts w:ascii="Times New Roman" w:hAnsi="Times New Roman" w:eastAsia="宋体" w:cs="Times New Roman"/>
          <w:b/>
          <w:sz w:val="30"/>
          <w:szCs w:val="30"/>
        </w:rPr>
        <w:t>年</w:t>
      </w:r>
      <w:r>
        <w:rPr>
          <w:rFonts w:hint="eastAsia" w:ascii="Times New Roman" w:hAnsi="Times New Roman" w:eastAsia="宋体" w:cs="Times New Roman"/>
          <w:b/>
          <w:sz w:val="30"/>
          <w:szCs w:val="30"/>
          <w:lang w:val="en-US" w:eastAsia="zh-CN"/>
        </w:rPr>
        <w:t>七</w:t>
      </w:r>
      <w:r>
        <w:rPr>
          <w:rFonts w:ascii="Times New Roman" w:hAnsi="Times New Roman" w:eastAsia="宋体" w:cs="Times New Roman"/>
          <w:b/>
          <w:sz w:val="30"/>
          <w:szCs w:val="30"/>
        </w:rPr>
        <w:t>月</w:t>
      </w:r>
    </w:p>
    <w:p>
      <w:pPr>
        <w:spacing w:line="360" w:lineRule="auto"/>
        <w:jc w:val="center"/>
        <w:rPr>
          <w:rFonts w:ascii="Times New Roman" w:hAnsi="Times New Roman" w:eastAsia="宋体" w:cs="Times New Roman"/>
          <w:b/>
          <w:sz w:val="30"/>
          <w:szCs w:val="30"/>
        </w:rPr>
      </w:pPr>
    </w:p>
    <w:p>
      <w:pPr>
        <w:spacing w:line="360" w:lineRule="auto"/>
        <w:jc w:val="center"/>
        <w:rPr>
          <w:rFonts w:ascii="Times New Roman" w:hAnsi="Times New Roman" w:eastAsia="宋体" w:cs="Times New Roman"/>
          <w:b/>
          <w:sz w:val="30"/>
          <w:szCs w:val="30"/>
        </w:rPr>
      </w:pPr>
    </w:p>
    <w:p>
      <w:pPr>
        <w:spacing w:line="360" w:lineRule="auto"/>
        <w:jc w:val="center"/>
        <w:rPr>
          <w:rFonts w:ascii="Times New Roman" w:hAnsi="Times New Roman" w:eastAsia="宋体" w:cs="Times New Roman"/>
          <w:b/>
          <w:sz w:val="30"/>
          <w:szCs w:val="30"/>
        </w:rPr>
      </w:pPr>
    </w:p>
    <w:p>
      <w:pPr>
        <w:spacing w:line="360" w:lineRule="auto"/>
        <w:jc w:val="both"/>
        <w:rPr>
          <w:rFonts w:ascii="Times New Roman" w:hAnsi="Times New Roman" w:eastAsia="宋体" w:cs="Times New Roman"/>
          <w:b/>
          <w:sz w:val="30"/>
          <w:szCs w:val="30"/>
        </w:rPr>
      </w:pPr>
    </w:p>
    <w:p>
      <w:pPr>
        <w:spacing w:line="360" w:lineRule="auto"/>
        <w:jc w:val="both"/>
        <w:rPr>
          <w:rFonts w:ascii="Times New Roman" w:hAnsi="Times New Roman" w:eastAsia="宋体"/>
          <w:sz w:val="28"/>
          <w:szCs w:val="28"/>
        </w:rPr>
      </w:pPr>
      <w:r>
        <w:rPr>
          <w:rFonts w:ascii="Times New Roman" w:hAnsi="Times New Roman" w:eastAsia="宋体"/>
          <w:sz w:val="28"/>
          <w:szCs w:val="28"/>
        </w:rPr>
        <w:br w:type="page"/>
      </w:r>
    </w:p>
    <w:sdt>
      <w:sdtPr>
        <w:rPr>
          <w:rFonts w:ascii="Times New Roman" w:hAnsi="Times New Roman" w:eastAsia="宋体" w:cstheme="minorBidi"/>
          <w:color w:val="auto"/>
          <w:kern w:val="2"/>
          <w:sz w:val="21"/>
          <w:szCs w:val="22"/>
          <w:lang w:val="zh-CN"/>
        </w:rPr>
        <w:id w:val="-894740297"/>
      </w:sdtPr>
      <w:sdtEndPr>
        <w:rPr>
          <w:rFonts w:ascii="Times New Roman" w:hAnsi="Times New Roman" w:eastAsia="宋体" w:cstheme="minorBidi"/>
          <w:b/>
          <w:bCs/>
          <w:color w:val="auto"/>
          <w:kern w:val="2"/>
          <w:sz w:val="21"/>
          <w:szCs w:val="22"/>
          <w:lang w:val="zh-CN"/>
        </w:rPr>
      </w:sdtEndPr>
      <w:sdtContent>
        <w:p>
          <w:pPr>
            <w:pStyle w:val="36"/>
            <w:jc w:val="center"/>
            <w:rPr>
              <w:rFonts w:ascii="Times New Roman" w:hAnsi="Times New Roman" w:eastAsia="宋体"/>
              <w:b/>
              <w:color w:val="000000" w:themeColor="text1"/>
              <w:sz w:val="30"/>
              <w:szCs w:val="30"/>
              <w:lang w:val="zh-CN"/>
            </w:rPr>
          </w:pPr>
          <w:r>
            <w:rPr>
              <w:rFonts w:ascii="Times New Roman" w:hAnsi="Times New Roman" w:eastAsia="宋体"/>
              <w:b/>
              <w:color w:val="000000" w:themeColor="text1"/>
              <w:sz w:val="30"/>
              <w:szCs w:val="30"/>
              <w:lang w:val="zh-CN"/>
            </w:rPr>
            <w:t>目</w:t>
          </w:r>
          <w:r>
            <w:rPr>
              <w:rFonts w:hint="eastAsia" w:ascii="Times New Roman" w:hAnsi="Times New Roman" w:eastAsia="宋体"/>
              <w:b/>
              <w:color w:val="000000" w:themeColor="text1"/>
              <w:sz w:val="30"/>
              <w:szCs w:val="30"/>
              <w:lang w:val="zh-CN"/>
            </w:rPr>
            <w:t xml:space="preserve">  </w:t>
          </w:r>
          <w:r>
            <w:rPr>
              <w:rFonts w:ascii="Times New Roman" w:hAnsi="Times New Roman" w:eastAsia="宋体"/>
              <w:b/>
              <w:color w:val="000000" w:themeColor="text1"/>
              <w:sz w:val="30"/>
              <w:szCs w:val="30"/>
              <w:lang w:val="zh-CN"/>
            </w:rPr>
            <w:t>录</w:t>
          </w:r>
        </w:p>
        <w:p>
          <w:pPr>
            <w:rPr>
              <w:rFonts w:ascii="Times New Roman" w:hAnsi="Times New Roman" w:eastAsia="宋体"/>
              <w:lang w:val="zh-CN"/>
            </w:rPr>
          </w:pPr>
        </w:p>
        <w:p>
          <w:pPr>
            <w:pStyle w:val="15"/>
            <w:tabs>
              <w:tab w:val="right" w:leader="dot" w:pos="8306"/>
              <w:tab w:val="clear" w:pos="8296"/>
            </w:tabs>
            <w:rPr>
              <w:rFonts w:ascii="Times New Roman" w:hAnsi="Times New Roman" w:eastAsia="宋体"/>
            </w:rPr>
          </w:pPr>
          <w:r>
            <w:rPr>
              <w:rFonts w:ascii="Times New Roman" w:hAnsi="Times New Roman" w:eastAsia="宋体"/>
              <w:sz w:val="24"/>
              <w:szCs w:val="24"/>
            </w:rPr>
            <w:fldChar w:fldCharType="begin"/>
          </w:r>
          <w:r>
            <w:rPr>
              <w:rFonts w:ascii="Times New Roman" w:hAnsi="Times New Roman" w:eastAsia="宋体"/>
              <w:sz w:val="24"/>
              <w:szCs w:val="24"/>
            </w:rPr>
            <w:instrText xml:space="preserve"> TOC \o "1-3" \h \z \u </w:instrText>
          </w:r>
          <w:r>
            <w:rPr>
              <w:rFonts w:ascii="Times New Roman" w:hAnsi="Times New Roman" w:eastAsia="宋体"/>
              <w:sz w:val="24"/>
              <w:szCs w:val="24"/>
            </w:rPr>
            <w:fldChar w:fldCharType="separate"/>
          </w:r>
          <w:r>
            <w:rPr>
              <w:rFonts w:ascii="Times New Roman" w:hAnsi="Times New Roman" w:eastAsia="宋体"/>
              <w:szCs w:val="24"/>
            </w:rPr>
            <w:fldChar w:fldCharType="begin"/>
          </w:r>
          <w:r>
            <w:rPr>
              <w:rFonts w:ascii="Times New Roman" w:hAnsi="Times New Roman" w:eastAsia="宋体"/>
              <w:szCs w:val="24"/>
            </w:rPr>
            <w:instrText xml:space="preserve"> HYPERLINK \l _Toc28141 </w:instrText>
          </w:r>
          <w:r>
            <w:rPr>
              <w:rFonts w:ascii="Times New Roman" w:hAnsi="Times New Roman" w:eastAsia="宋体"/>
              <w:szCs w:val="24"/>
            </w:rPr>
            <w:fldChar w:fldCharType="separate"/>
          </w:r>
          <w:r>
            <w:rPr>
              <w:rFonts w:ascii="Times New Roman" w:hAnsi="Times New Roman" w:eastAsia="宋体" w:cs="Times New Roman"/>
              <w:szCs w:val="30"/>
            </w:rPr>
            <w:t>1</w:t>
          </w:r>
          <w:r>
            <w:rPr>
              <w:rFonts w:hint="eastAsia" w:ascii="Times New Roman" w:hAnsi="Times New Roman" w:eastAsia="宋体" w:cs="Times New Roman"/>
              <w:szCs w:val="30"/>
              <w:lang w:val="en-US" w:eastAsia="zh-CN"/>
            </w:rPr>
            <w:t>项目背景</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_Toc28141 </w:instrText>
          </w:r>
          <w:r>
            <w:rPr>
              <w:rFonts w:ascii="Times New Roman" w:hAnsi="Times New Roman" w:eastAsia="宋体"/>
            </w:rPr>
            <w:fldChar w:fldCharType="separate"/>
          </w:r>
          <w:r>
            <w:rPr>
              <w:rFonts w:ascii="Times New Roman" w:hAnsi="Times New Roman" w:eastAsia="宋体"/>
            </w:rPr>
            <w:t>1</w:t>
          </w:r>
          <w:r>
            <w:rPr>
              <w:rFonts w:ascii="Times New Roman" w:hAnsi="Times New Roman" w:eastAsia="宋体"/>
            </w:rPr>
            <w:fldChar w:fldCharType="end"/>
          </w:r>
          <w:r>
            <w:rPr>
              <w:rFonts w:ascii="Times New Roman" w:hAnsi="Times New Roman" w:eastAsia="宋体"/>
              <w:szCs w:val="24"/>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_Toc31454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1.1项目由来</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_Toc31454 </w:instrText>
          </w:r>
          <w:r>
            <w:rPr>
              <w:rFonts w:ascii="Times New Roman" w:hAnsi="Times New Roman" w:eastAsia="宋体"/>
            </w:rPr>
            <w:fldChar w:fldCharType="separate"/>
          </w:r>
          <w:r>
            <w:rPr>
              <w:rFonts w:ascii="Times New Roman" w:hAnsi="Times New Roman" w:eastAsia="宋体"/>
            </w:rPr>
            <w:t>1</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_Toc7984 </w:instrText>
          </w:r>
          <w:r>
            <w:rPr>
              <w:rFonts w:ascii="Times New Roman" w:hAnsi="Times New Roman" w:eastAsia="宋体"/>
              <w:bCs/>
              <w:szCs w:val="24"/>
              <w:lang w:val="zh-CN"/>
            </w:rPr>
            <w:fldChar w:fldCharType="separate"/>
          </w:r>
          <w:r>
            <w:rPr>
              <w:rFonts w:ascii="Times New Roman" w:hAnsi="Times New Roman" w:eastAsia="宋体" w:cs="Times New Roman"/>
              <w:szCs w:val="24"/>
            </w:rPr>
            <w:t>1.1.1工作目的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_Toc7984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_Toc58 </w:instrText>
          </w:r>
          <w:r>
            <w:rPr>
              <w:rFonts w:ascii="Times New Roman" w:hAnsi="Times New Roman" w:eastAsia="宋体"/>
              <w:bCs/>
              <w:szCs w:val="24"/>
              <w:lang w:val="zh-CN"/>
            </w:rPr>
            <w:fldChar w:fldCharType="separate"/>
          </w:r>
          <w:r>
            <w:rPr>
              <w:rFonts w:ascii="Times New Roman" w:hAnsi="Times New Roman" w:eastAsia="宋体" w:cs="Times New Roman"/>
              <w:szCs w:val="24"/>
            </w:rPr>
            <w:t>1.1.2工作原则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_Toc58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_Toc9419 </w:instrText>
          </w:r>
          <w:r>
            <w:rPr>
              <w:rFonts w:ascii="Times New Roman" w:hAnsi="Times New Roman" w:eastAsia="宋体"/>
              <w:bCs/>
              <w:szCs w:val="24"/>
              <w:lang w:val="zh-CN"/>
            </w:rPr>
            <w:fldChar w:fldCharType="separate"/>
          </w:r>
          <w:r>
            <w:rPr>
              <w:rFonts w:ascii="Times New Roman" w:hAnsi="Times New Roman" w:eastAsia="宋体" w:cs="Times New Roman"/>
              <w:szCs w:val="28"/>
            </w:rPr>
            <w:t>1.2工作依据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_Toc9419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_Toc2814 </w:instrText>
          </w:r>
          <w:r>
            <w:rPr>
              <w:rFonts w:ascii="Times New Roman" w:hAnsi="Times New Roman" w:eastAsia="宋体"/>
              <w:bCs/>
              <w:szCs w:val="24"/>
              <w:lang w:val="zh-CN"/>
            </w:rPr>
            <w:fldChar w:fldCharType="separate"/>
          </w:r>
          <w:r>
            <w:rPr>
              <w:rFonts w:ascii="Times New Roman" w:hAnsi="Times New Roman" w:eastAsia="宋体" w:cs="Times New Roman"/>
              <w:szCs w:val="24"/>
            </w:rPr>
            <w:t>1.2.1 法律、法规及规范性文件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_Toc2814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_Toc7137 </w:instrText>
          </w:r>
          <w:r>
            <w:rPr>
              <w:rFonts w:ascii="Times New Roman" w:hAnsi="Times New Roman" w:eastAsia="宋体"/>
              <w:bCs/>
              <w:szCs w:val="24"/>
              <w:lang w:val="zh-CN"/>
            </w:rPr>
            <w:fldChar w:fldCharType="separate"/>
          </w:r>
          <w:r>
            <w:rPr>
              <w:rFonts w:ascii="Times New Roman" w:hAnsi="Times New Roman" w:eastAsia="宋体" w:cs="Times New Roman"/>
              <w:szCs w:val="24"/>
            </w:rPr>
            <w:t xml:space="preserve">1.2.2 </w:t>
          </w:r>
          <w:r>
            <w:rPr>
              <w:rFonts w:hint="eastAsia" w:ascii="Times New Roman" w:hAnsi="Times New Roman" w:eastAsia="宋体" w:cs="Times New Roman"/>
              <w:szCs w:val="24"/>
              <w:lang w:val="en-US" w:eastAsia="zh-CN"/>
            </w:rPr>
            <w:t>相关标准、</w:t>
          </w:r>
          <w:r>
            <w:rPr>
              <w:rFonts w:ascii="Times New Roman" w:hAnsi="Times New Roman" w:eastAsia="宋体" w:cs="Times New Roman"/>
              <w:szCs w:val="24"/>
            </w:rPr>
            <w:t>技术规范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_Toc7137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_Toc8495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1.2.3企业资料</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_Toc8495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_Toc8722 </w:instrText>
          </w:r>
          <w:r>
            <w:rPr>
              <w:rFonts w:ascii="Times New Roman" w:hAnsi="Times New Roman" w:eastAsia="宋体"/>
              <w:bCs/>
              <w:szCs w:val="24"/>
              <w:lang w:val="zh-CN"/>
            </w:rPr>
            <w:fldChar w:fldCharType="separate"/>
          </w:r>
          <w:r>
            <w:rPr>
              <w:rFonts w:ascii="Times New Roman" w:hAnsi="Times New Roman" w:eastAsia="宋体" w:cs="Times New Roman"/>
              <w:szCs w:val="28"/>
            </w:rPr>
            <w:t>1.3工作</w:t>
          </w:r>
          <w:r>
            <w:rPr>
              <w:rFonts w:hint="eastAsia" w:ascii="Times New Roman" w:hAnsi="Times New Roman" w:eastAsia="宋体" w:cs="Times New Roman"/>
              <w:szCs w:val="28"/>
              <w:lang w:val="en-US" w:eastAsia="zh-CN"/>
            </w:rPr>
            <w:t>内容</w:t>
          </w:r>
          <w:r>
            <w:rPr>
              <w:rFonts w:ascii="Times New Roman" w:hAnsi="Times New Roman" w:eastAsia="宋体" w:cs="Times New Roman"/>
              <w:szCs w:val="28"/>
            </w:rPr>
            <w:t>及</w:t>
          </w:r>
          <w:r>
            <w:rPr>
              <w:rFonts w:hint="eastAsia" w:ascii="Times New Roman" w:hAnsi="Times New Roman" w:eastAsia="宋体" w:cs="Times New Roman"/>
              <w:szCs w:val="28"/>
              <w:lang w:val="en-US" w:eastAsia="zh-CN"/>
            </w:rPr>
            <w:t>技术路线</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_Toc8722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_Toc755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30"/>
              <w:lang w:val="en-US" w:eastAsia="zh-CN"/>
            </w:rPr>
            <w:t>2企业概况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_Toc755 </w:instrText>
          </w:r>
          <w:r>
            <w:rPr>
              <w:rFonts w:ascii="Times New Roman" w:hAnsi="Times New Roman" w:eastAsia="宋体"/>
            </w:rPr>
            <w:fldChar w:fldCharType="separate"/>
          </w:r>
          <w:r>
            <w:rPr>
              <w:rFonts w:ascii="Times New Roman" w:hAnsi="Times New Roman" w:eastAsia="宋体"/>
            </w:rPr>
            <w:t>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_Toc13282 </w:instrText>
          </w:r>
          <w:r>
            <w:rPr>
              <w:rFonts w:ascii="Times New Roman" w:hAnsi="Times New Roman" w:eastAsia="宋体"/>
              <w:bCs/>
              <w:szCs w:val="24"/>
              <w:lang w:val="zh-CN"/>
            </w:rPr>
            <w:fldChar w:fldCharType="separate"/>
          </w:r>
          <w:r>
            <w:rPr>
              <w:rFonts w:hint="eastAsia" w:ascii="Times New Roman" w:hAnsi="Times New Roman" w:eastAsia="宋体" w:cs="Times New Roman"/>
              <w:bCs/>
              <w:kern w:val="2"/>
              <w:szCs w:val="28"/>
              <w:lang w:val="en-US" w:eastAsia="zh-CN" w:bidi="ar-SA"/>
            </w:rPr>
            <w:t>2.1企业基本信息</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_Toc13282 </w:instrText>
          </w:r>
          <w:r>
            <w:rPr>
              <w:rFonts w:ascii="Times New Roman" w:hAnsi="Times New Roman" w:eastAsia="宋体"/>
            </w:rPr>
            <w:fldChar w:fldCharType="separate"/>
          </w:r>
          <w:r>
            <w:rPr>
              <w:rFonts w:ascii="Times New Roman" w:hAnsi="Times New Roman" w:eastAsia="宋体"/>
            </w:rPr>
            <w:t>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_Toc27597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2.2企业平面图</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_Toc27597 </w:instrText>
          </w:r>
          <w:r>
            <w:rPr>
              <w:rFonts w:ascii="Times New Roman" w:hAnsi="Times New Roman" w:eastAsia="宋体"/>
            </w:rPr>
            <w:fldChar w:fldCharType="separate"/>
          </w:r>
          <w:r>
            <w:rPr>
              <w:rFonts w:ascii="Times New Roman" w:hAnsi="Times New Roman" w:eastAsia="宋体"/>
            </w:rPr>
            <w:t>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_Toc21396 </w:instrText>
          </w:r>
          <w:r>
            <w:rPr>
              <w:rFonts w:ascii="Times New Roman" w:hAnsi="Times New Roman" w:eastAsia="宋体"/>
              <w:bCs/>
              <w:szCs w:val="24"/>
              <w:lang w:val="zh-CN"/>
            </w:rPr>
            <w:fldChar w:fldCharType="separate"/>
          </w:r>
          <w:r>
            <w:rPr>
              <w:rFonts w:ascii="Times New Roman" w:hAnsi="Times New Roman" w:eastAsia="宋体" w:cs="Times New Roman"/>
              <w:szCs w:val="24"/>
            </w:rPr>
            <w:t>2.</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 xml:space="preserve"> 企业</w:t>
          </w:r>
          <w:r>
            <w:rPr>
              <w:rFonts w:hint="eastAsia" w:ascii="Times New Roman" w:hAnsi="Times New Roman" w:eastAsia="宋体" w:cs="Times New Roman"/>
              <w:szCs w:val="24"/>
              <w:lang w:val="en-US" w:eastAsia="zh-CN"/>
            </w:rPr>
            <w:t>用地已有的环境调查与监测信息</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_Toc21396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_Toc24217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3周边环境及自然状况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_Toc24217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_Toc25517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3.1 自然环境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_Toc25517 </w:instrText>
          </w:r>
          <w:r>
            <w:rPr>
              <w:rFonts w:ascii="Times New Roman" w:hAnsi="Times New Roman" w:eastAsia="宋体"/>
            </w:rPr>
            <w:fldChar w:fldCharType="separate"/>
          </w:r>
          <w:r>
            <w:rPr>
              <w:rFonts w:ascii="Times New Roman" w:hAnsi="Times New Roman" w:eastAsia="宋体"/>
            </w:rPr>
            <w:t>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_Toc23159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1）气候环境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_Toc23159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_Toc15032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2）地形地貌</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_Toc15032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_Toc2058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3）水文地质情况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_Toc2058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_Toc25092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3.2社会环境</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_Toc25092 </w:instrText>
          </w:r>
          <w:r>
            <w:rPr>
              <w:rFonts w:ascii="Times New Roman" w:hAnsi="Times New Roman" w:eastAsia="宋体"/>
            </w:rPr>
            <w:fldChar w:fldCharType="separate"/>
          </w:r>
          <w:r>
            <w:rPr>
              <w:rFonts w:ascii="Times New Roman" w:hAnsi="Times New Roman" w:eastAsia="宋体"/>
            </w:rPr>
            <w:t>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_Toc10678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4企业生产及污染防治情况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_Toc10678 </w:instrText>
          </w:r>
          <w:r>
            <w:rPr>
              <w:rFonts w:ascii="Times New Roman" w:hAnsi="Times New Roman" w:eastAsia="宋体"/>
            </w:rPr>
            <w:fldChar w:fldCharType="separate"/>
          </w:r>
          <w:r>
            <w:rPr>
              <w:rFonts w:ascii="Times New Roman" w:hAnsi="Times New Roman" w:eastAsia="宋体"/>
            </w:rPr>
            <w:t>6</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_Toc16239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4.1企业市场概况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_Toc16239 </w:instrText>
          </w:r>
          <w:r>
            <w:rPr>
              <w:rFonts w:ascii="Times New Roman" w:hAnsi="Times New Roman" w:eastAsia="宋体"/>
            </w:rPr>
            <w:fldChar w:fldCharType="separate"/>
          </w:r>
          <w:r>
            <w:rPr>
              <w:rFonts w:ascii="Times New Roman" w:hAnsi="Times New Roman" w:eastAsia="宋体"/>
            </w:rPr>
            <w:t>6</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_Toc11969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4.2企业设施布置</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_Toc11969 </w:instrText>
          </w:r>
          <w:r>
            <w:rPr>
              <w:rFonts w:ascii="Times New Roman" w:hAnsi="Times New Roman" w:eastAsia="宋体"/>
            </w:rPr>
            <w:fldChar w:fldCharType="separate"/>
          </w:r>
          <w:r>
            <w:rPr>
              <w:rFonts w:ascii="Times New Roman" w:hAnsi="Times New Roman" w:eastAsia="宋体"/>
            </w:rPr>
            <w:t>8</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_Toc10884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4.3各设施生产工艺与污染防治情况</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_Toc10884 </w:instrText>
          </w:r>
          <w:r>
            <w:rPr>
              <w:rFonts w:ascii="Times New Roman" w:hAnsi="Times New Roman" w:eastAsia="宋体"/>
            </w:rPr>
            <w:fldChar w:fldCharType="separate"/>
          </w:r>
          <w:r>
            <w:rPr>
              <w:rFonts w:ascii="Times New Roman" w:hAnsi="Times New Roman" w:eastAsia="宋体"/>
            </w:rPr>
            <w:t>9</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_Toc2177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4.4各设施设计的有毒有害物质清单</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_Toc2177 </w:instrText>
          </w:r>
          <w:r>
            <w:rPr>
              <w:rFonts w:ascii="Times New Roman" w:hAnsi="Times New Roman" w:eastAsia="宋体"/>
            </w:rPr>
            <w:fldChar w:fldCharType="separate"/>
          </w:r>
          <w:r>
            <w:rPr>
              <w:rFonts w:ascii="Times New Roman" w:hAnsi="Times New Roman" w:eastAsia="宋体"/>
            </w:rPr>
            <w:t>16</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_Toc12138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5重点设施及重点区域识别</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_Toc12138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_Toc6656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5.1重点设施识别</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_Toc6656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_Toc5757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1） 识别原因</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_Toc5757 </w:instrText>
          </w:r>
          <w:r>
            <w:rPr>
              <w:rFonts w:ascii="Times New Roman" w:hAnsi="Times New Roman" w:eastAsia="宋体"/>
            </w:rPr>
            <w:fldChar w:fldCharType="separate"/>
          </w:r>
          <w:r>
            <w:rPr>
              <w:rFonts w:ascii="Times New Roman" w:hAnsi="Times New Roman" w:eastAsia="宋体"/>
            </w:rPr>
            <w:t>17</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_Toc7612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2） 关注污染物</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_Toc7612 </w:instrText>
          </w:r>
          <w:r>
            <w:rPr>
              <w:rFonts w:ascii="Times New Roman" w:hAnsi="Times New Roman" w:eastAsia="宋体"/>
            </w:rPr>
            <w:fldChar w:fldCharType="separate"/>
          </w:r>
          <w:r>
            <w:rPr>
              <w:rFonts w:ascii="Times New Roman" w:hAnsi="Times New Roman" w:eastAsia="宋体"/>
            </w:rPr>
            <w:t>21</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_Toc15755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3） 污染物潜在迁移途径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_Toc15755 </w:instrText>
          </w:r>
          <w:r>
            <w:rPr>
              <w:rFonts w:ascii="Times New Roman" w:hAnsi="Times New Roman" w:eastAsia="宋体"/>
            </w:rPr>
            <w:fldChar w:fldCharType="separate"/>
          </w:r>
          <w:r>
            <w:rPr>
              <w:rFonts w:ascii="Times New Roman" w:hAnsi="Times New Roman" w:eastAsia="宋体"/>
            </w:rPr>
            <w:t>21</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_Toc31342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5.2重点区域划分</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_Toc31342 </w:instrText>
          </w:r>
          <w:r>
            <w:rPr>
              <w:rFonts w:ascii="Times New Roman" w:hAnsi="Times New Roman" w:eastAsia="宋体"/>
            </w:rPr>
            <w:fldChar w:fldCharType="separate"/>
          </w:r>
          <w:r>
            <w:rPr>
              <w:rFonts w:ascii="Times New Roman" w:hAnsi="Times New Roman" w:eastAsia="宋体"/>
            </w:rPr>
            <w:t>22</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_Toc30721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6土壤和地下水监测点位布设方案</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_Toc30721 </w:instrText>
          </w:r>
          <w:r>
            <w:rPr>
              <w:rFonts w:ascii="Times New Roman" w:hAnsi="Times New Roman" w:eastAsia="宋体"/>
            </w:rPr>
            <w:fldChar w:fldCharType="separate"/>
          </w:r>
          <w:r>
            <w:rPr>
              <w:rFonts w:ascii="Times New Roman" w:hAnsi="Times New Roman" w:eastAsia="宋体"/>
            </w:rPr>
            <w:t>23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_Toc1790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6.1点位设置平面图</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_Toc1790 </w:instrText>
          </w:r>
          <w:r>
            <w:rPr>
              <w:rFonts w:ascii="Times New Roman" w:hAnsi="Times New Roman" w:eastAsia="宋体"/>
            </w:rPr>
            <w:fldChar w:fldCharType="separate"/>
          </w:r>
          <w:r>
            <w:rPr>
              <w:rFonts w:ascii="Times New Roman" w:hAnsi="Times New Roman" w:eastAsia="宋体"/>
            </w:rPr>
            <w:t>23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_Toc32517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6.2各点位布设原因分析</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_Toc32517 </w:instrText>
          </w:r>
          <w:r>
            <w:rPr>
              <w:rFonts w:ascii="Times New Roman" w:hAnsi="Times New Roman" w:eastAsia="宋体"/>
            </w:rPr>
            <w:fldChar w:fldCharType="separate"/>
          </w:r>
          <w:r>
            <w:rPr>
              <w:rFonts w:ascii="Times New Roman" w:hAnsi="Times New Roman" w:eastAsia="宋体"/>
            </w:rPr>
            <w:t>24</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_Toc27451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6.3各点位分析测试项目及选取原因</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_Toc27451 </w:instrText>
          </w:r>
          <w:r>
            <w:rPr>
              <w:rFonts w:ascii="Times New Roman" w:hAnsi="Times New Roman" w:eastAsia="宋体"/>
            </w:rPr>
            <w:fldChar w:fldCharType="separate"/>
          </w:r>
          <w:r>
            <w:rPr>
              <w:rFonts w:ascii="Times New Roman" w:hAnsi="Times New Roman" w:eastAsia="宋体"/>
            </w:rPr>
            <w:t>25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_Toc13463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7监测结果及分析</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_Toc13463 </w:instrText>
          </w:r>
          <w:r>
            <w:rPr>
              <w:rFonts w:ascii="Times New Roman" w:hAnsi="Times New Roman" w:eastAsia="宋体"/>
            </w:rPr>
            <w:fldChar w:fldCharType="separate"/>
          </w:r>
          <w:r>
            <w:rPr>
              <w:rFonts w:ascii="Times New Roman" w:hAnsi="Times New Roman" w:eastAsia="宋体"/>
            </w:rPr>
            <w:t>27</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_Toc22583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7.1土壤监测结果</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_Toc22583 </w:instrText>
          </w:r>
          <w:r>
            <w:rPr>
              <w:rFonts w:ascii="Times New Roman" w:hAnsi="Times New Roman" w:eastAsia="宋体"/>
            </w:rPr>
            <w:fldChar w:fldCharType="separate"/>
          </w:r>
          <w:r>
            <w:rPr>
              <w:rFonts w:ascii="Times New Roman" w:hAnsi="Times New Roman" w:eastAsia="宋体"/>
            </w:rPr>
            <w:t>27</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_Toc12587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7.2土壤污染状况分析</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_Toc12587 </w:instrText>
          </w:r>
          <w:r>
            <w:rPr>
              <w:rFonts w:ascii="Times New Roman" w:hAnsi="Times New Roman" w:eastAsia="宋体"/>
            </w:rPr>
            <w:fldChar w:fldCharType="separate"/>
          </w:r>
          <w:r>
            <w:rPr>
              <w:rFonts w:ascii="Times New Roman" w:hAnsi="Times New Roman" w:eastAsia="宋体"/>
            </w:rPr>
            <w:t>40</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_Toc20994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7.3地下水监测结果</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_Toc20994 </w:instrText>
          </w:r>
          <w:r>
            <w:rPr>
              <w:rFonts w:ascii="Times New Roman" w:hAnsi="Times New Roman" w:eastAsia="宋体"/>
            </w:rPr>
            <w:fldChar w:fldCharType="separate"/>
          </w:r>
          <w:r>
            <w:rPr>
              <w:rFonts w:ascii="Times New Roman" w:hAnsi="Times New Roman" w:eastAsia="宋体"/>
            </w:rPr>
            <w:t>41</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_Toc18130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7.4地下水污染状况分析</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_Toc18130 </w:instrText>
          </w:r>
          <w:r>
            <w:rPr>
              <w:rFonts w:ascii="Times New Roman" w:hAnsi="Times New Roman" w:eastAsia="宋体"/>
            </w:rPr>
            <w:fldChar w:fldCharType="separate"/>
          </w:r>
          <w:r>
            <w:rPr>
              <w:rFonts w:ascii="Times New Roman" w:hAnsi="Times New Roman" w:eastAsia="宋体"/>
            </w:rPr>
            <w:t>43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_Toc4887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8结论与措施</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_Toc4887 </w:instrText>
          </w:r>
          <w:r>
            <w:rPr>
              <w:rFonts w:ascii="Times New Roman" w:hAnsi="Times New Roman" w:eastAsia="宋体"/>
            </w:rPr>
            <w:fldChar w:fldCharType="separate"/>
          </w:r>
          <w:r>
            <w:rPr>
              <w:rFonts w:ascii="Times New Roman" w:hAnsi="Times New Roman" w:eastAsia="宋体"/>
            </w:rPr>
            <w:t>43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_Toc23583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8.1监测结论</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_Toc23583 </w:instrText>
          </w:r>
          <w:r>
            <w:rPr>
              <w:rFonts w:ascii="Times New Roman" w:hAnsi="Times New Roman" w:eastAsia="宋体"/>
            </w:rPr>
            <w:fldChar w:fldCharType="separate"/>
          </w:r>
          <w:r>
            <w:rPr>
              <w:rFonts w:ascii="Times New Roman" w:hAnsi="Times New Roman" w:eastAsia="宋体"/>
            </w:rPr>
            <w:t>43</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_Toc11694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8.2企业针对监测结果拟选取的主要措施及选取原因</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_Toc11694 </w:instrText>
          </w:r>
          <w:r>
            <w:rPr>
              <w:rFonts w:ascii="Times New Roman" w:hAnsi="Times New Roman" w:eastAsia="宋体"/>
            </w:rPr>
            <w:fldChar w:fldCharType="separate"/>
          </w:r>
          <w:r>
            <w:rPr>
              <w:rFonts w:ascii="Times New Roman" w:hAnsi="Times New Roman" w:eastAsia="宋体"/>
            </w:rPr>
            <w:t>44</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_Toc20599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9质量保证与质量控制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_Toc20599 </w:instrText>
          </w:r>
          <w:r>
            <w:rPr>
              <w:rFonts w:ascii="Times New Roman" w:hAnsi="Times New Roman" w:eastAsia="宋体"/>
            </w:rPr>
            <w:fldChar w:fldCharType="separate"/>
          </w:r>
          <w:r>
            <w:rPr>
              <w:rFonts w:ascii="Times New Roman" w:hAnsi="Times New Roman" w:eastAsia="宋体"/>
            </w:rPr>
            <w:t>45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_Toc2411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9.1监测机构</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_Toc2411 </w:instrText>
          </w:r>
          <w:r>
            <w:rPr>
              <w:rFonts w:ascii="Times New Roman" w:hAnsi="Times New Roman" w:eastAsia="宋体"/>
            </w:rPr>
            <w:fldChar w:fldCharType="separate"/>
          </w:r>
          <w:r>
            <w:rPr>
              <w:rFonts w:ascii="Times New Roman" w:hAnsi="Times New Roman" w:eastAsia="宋体"/>
            </w:rPr>
            <w:t>45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_Toc919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9.2监测人员</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_Toc919 </w:instrText>
          </w:r>
          <w:r>
            <w:rPr>
              <w:rFonts w:ascii="Times New Roman" w:hAnsi="Times New Roman" w:eastAsia="宋体"/>
            </w:rPr>
            <w:fldChar w:fldCharType="separate"/>
          </w:r>
          <w:r>
            <w:rPr>
              <w:rFonts w:ascii="Times New Roman" w:hAnsi="Times New Roman" w:eastAsia="宋体"/>
            </w:rPr>
            <w:t>46</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_Toc19243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9.3监测方案制定的质量保证与控制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_Toc19243 </w:instrText>
          </w:r>
          <w:r>
            <w:rPr>
              <w:rFonts w:ascii="Times New Roman" w:hAnsi="Times New Roman" w:eastAsia="宋体"/>
            </w:rPr>
            <w:fldChar w:fldCharType="separate"/>
          </w:r>
          <w:r>
            <w:rPr>
              <w:rFonts w:ascii="Times New Roman" w:hAnsi="Times New Roman" w:eastAsia="宋体"/>
            </w:rPr>
            <w:t>47</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_Toc8852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9.4样品采集、保存与流转的质量保证与控制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_Toc8852 </w:instrText>
          </w:r>
          <w:r>
            <w:rPr>
              <w:rFonts w:ascii="Times New Roman" w:hAnsi="Times New Roman" w:eastAsia="宋体"/>
            </w:rPr>
            <w:fldChar w:fldCharType="separate"/>
          </w:r>
          <w:r>
            <w:rPr>
              <w:rFonts w:ascii="Times New Roman" w:hAnsi="Times New Roman" w:eastAsia="宋体"/>
            </w:rPr>
            <w:t>54</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7"/>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_Toc24732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8"/>
              <w:lang w:val="en-US" w:eastAsia="zh-CN"/>
            </w:rPr>
            <w:t>9.5样品分析测试的质量保证与控制</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_Toc24732 </w:instrText>
          </w:r>
          <w:r>
            <w:rPr>
              <w:rFonts w:ascii="Times New Roman" w:hAnsi="Times New Roman" w:eastAsia="宋体"/>
            </w:rPr>
            <w:fldChar w:fldCharType="separate"/>
          </w:r>
          <w:r>
            <w:rPr>
              <w:rFonts w:ascii="Times New Roman" w:hAnsi="Times New Roman" w:eastAsia="宋体"/>
            </w:rPr>
            <w:t>54</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_Toc11688 </w:instrText>
          </w:r>
          <w:r>
            <w:rPr>
              <w:rFonts w:ascii="Times New Roman" w:hAnsi="Times New Roman" w:eastAsia="宋体"/>
              <w:bCs/>
              <w:szCs w:val="24"/>
              <w:lang w:val="zh-CN"/>
            </w:rPr>
            <w:fldChar w:fldCharType="separate"/>
          </w:r>
          <w:r>
            <w:rPr>
              <w:rFonts w:hint="eastAsia" w:ascii="Times New Roman" w:hAnsi="Times New Roman" w:eastAsia="宋体" w:cs="Times New Roman"/>
              <w:bCs/>
              <w:szCs w:val="24"/>
              <w:lang w:val="en-US" w:eastAsia="zh-CN"/>
            </w:rPr>
            <w:t>9.5.1检测报告</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_Toc11688 </w:instrText>
          </w:r>
          <w:r>
            <w:rPr>
              <w:rFonts w:ascii="Times New Roman" w:hAnsi="Times New Roman" w:eastAsia="宋体"/>
            </w:rPr>
            <w:fldChar w:fldCharType="separate"/>
          </w:r>
          <w:r>
            <w:rPr>
              <w:rFonts w:ascii="Times New Roman" w:hAnsi="Times New Roman" w:eastAsia="宋体"/>
            </w:rPr>
            <w:t>54</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_Toc30028 </w:instrText>
          </w:r>
          <w:r>
            <w:rPr>
              <w:rFonts w:ascii="Times New Roman" w:hAnsi="Times New Roman" w:eastAsia="宋体"/>
              <w:bCs/>
              <w:szCs w:val="24"/>
              <w:lang w:val="zh-CN"/>
            </w:rPr>
            <w:fldChar w:fldCharType="separate"/>
          </w:r>
          <w:r>
            <w:rPr>
              <w:rFonts w:hint="eastAsia" w:ascii="Times New Roman" w:hAnsi="Times New Roman" w:eastAsia="宋体" w:cs="Times New Roman"/>
              <w:bCs/>
              <w:szCs w:val="24"/>
              <w:lang w:val="en-US" w:eastAsia="zh-CN"/>
            </w:rPr>
            <w:t>9.5.2质量保证体系</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_Toc30028 </w:instrText>
          </w:r>
          <w:r>
            <w:rPr>
              <w:rFonts w:ascii="Times New Roman" w:hAnsi="Times New Roman" w:eastAsia="宋体"/>
            </w:rPr>
            <w:fldChar w:fldCharType="separate"/>
          </w:r>
          <w:r>
            <w:rPr>
              <w:rFonts w:ascii="Times New Roman" w:hAnsi="Times New Roman" w:eastAsia="宋体"/>
            </w:rPr>
            <w:t>55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9"/>
            <w:tabs>
              <w:tab w:val="right" w:leader="dot" w:pos="830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_Toc1405 </w:instrText>
          </w:r>
          <w:r>
            <w:rPr>
              <w:rFonts w:ascii="Times New Roman" w:hAnsi="Times New Roman" w:eastAsia="宋体"/>
              <w:bCs/>
              <w:szCs w:val="24"/>
              <w:lang w:val="zh-CN"/>
            </w:rPr>
            <w:fldChar w:fldCharType="separate"/>
          </w:r>
          <w:r>
            <w:rPr>
              <w:rFonts w:hint="eastAsia" w:ascii="Times New Roman" w:hAnsi="Times New Roman" w:eastAsia="宋体" w:cs="Times New Roman"/>
              <w:bCs/>
              <w:szCs w:val="24"/>
              <w:lang w:val="en-US" w:eastAsia="zh-CN"/>
            </w:rPr>
            <w:t>9.5.3实验室检测质量保证</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_Toc1405 </w:instrText>
          </w:r>
          <w:r>
            <w:rPr>
              <w:rFonts w:ascii="Times New Roman" w:hAnsi="Times New Roman" w:eastAsia="宋体"/>
            </w:rPr>
            <w:fldChar w:fldCharType="separate"/>
          </w:r>
          <w:r>
            <w:rPr>
              <w:rFonts w:ascii="Times New Roman" w:hAnsi="Times New Roman" w:eastAsia="宋体"/>
            </w:rPr>
            <w:t>55</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_Toc1343 </w:instrText>
          </w:r>
          <w:r>
            <w:rPr>
              <w:rFonts w:ascii="Times New Roman" w:hAnsi="Times New Roman" w:eastAsia="宋体"/>
              <w:bCs/>
              <w:szCs w:val="24"/>
              <w:lang w:val="zh-CN"/>
            </w:rPr>
            <w:fldChar w:fldCharType="separate"/>
          </w:r>
          <w:r>
            <w:rPr>
              <w:rFonts w:hint="eastAsia" w:ascii="Times New Roman" w:hAnsi="Times New Roman" w:eastAsia="宋体" w:cs="Times New Roman"/>
              <w:szCs w:val="24"/>
              <w:lang w:val="en-US" w:eastAsia="zh-CN"/>
            </w:rPr>
            <w:t>附件1：重点设施信息记录表</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_Toc1343 </w:instrText>
          </w:r>
          <w:r>
            <w:rPr>
              <w:rFonts w:ascii="Times New Roman" w:hAnsi="Times New Roman" w:eastAsia="宋体"/>
            </w:rPr>
            <w:fldChar w:fldCharType="separate"/>
          </w:r>
          <w:r>
            <w:rPr>
              <w:rFonts w:ascii="Times New Roman" w:hAnsi="Times New Roman" w:eastAsia="宋体"/>
            </w:rPr>
            <w:t>56</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_Toc997 </w:instrText>
          </w:r>
          <w:r>
            <w:rPr>
              <w:rFonts w:ascii="Times New Roman" w:hAnsi="Times New Roman" w:eastAsia="宋体"/>
              <w:bCs/>
              <w:szCs w:val="24"/>
              <w:lang w:val="zh-CN"/>
            </w:rPr>
            <w:fldChar w:fldCharType="separate"/>
          </w:r>
          <w:r>
            <w:rPr>
              <w:rFonts w:hint="eastAsia" w:ascii="Times New Roman" w:hAnsi="Times New Roman" w:eastAsia="宋体" w:cs="Times New Roman"/>
              <w:bCs/>
              <w:szCs w:val="24"/>
              <w:lang w:val="en-US" w:eastAsia="zh-CN"/>
            </w:rPr>
            <w:t>附件2  样品分析测试报告</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_Toc997 </w:instrText>
          </w:r>
          <w:r>
            <w:rPr>
              <w:rFonts w:ascii="Times New Roman" w:hAnsi="Times New Roman" w:eastAsia="宋体"/>
            </w:rPr>
            <w:fldChar w:fldCharType="separate"/>
          </w:r>
          <w:r>
            <w:rPr>
              <w:rFonts w:ascii="Times New Roman" w:hAnsi="Times New Roman" w:eastAsia="宋体"/>
            </w:rPr>
            <w:t>59</w:t>
          </w:r>
          <w:r>
            <w:rPr>
              <w:rFonts w:ascii="Times New Roman" w:hAnsi="Times New Roman" w:eastAsia="宋体"/>
            </w:rPr>
            <w:fldChar w:fldCharType="end"/>
          </w:r>
          <w:r>
            <w:rPr>
              <w:rFonts w:ascii="Times New Roman" w:hAnsi="Times New Roman" w:eastAsia="宋体"/>
              <w:bCs/>
              <w:szCs w:val="24"/>
              <w:lang w:val="zh-CN"/>
            </w:rPr>
            <w:fldChar w:fldCharType="end"/>
          </w:r>
        </w:p>
        <w:p>
          <w:pPr>
            <w:pStyle w:val="15"/>
            <w:tabs>
              <w:tab w:val="right" w:leader="dot" w:pos="8306"/>
              <w:tab w:val="clear" w:pos="8296"/>
            </w:tabs>
            <w:rPr>
              <w:rFonts w:ascii="Times New Roman" w:hAnsi="Times New Roman" w:eastAsia="宋体"/>
            </w:rPr>
          </w:pPr>
          <w:r>
            <w:rPr>
              <w:rFonts w:ascii="Times New Roman" w:hAnsi="Times New Roman" w:eastAsia="宋体"/>
              <w:bCs/>
              <w:szCs w:val="24"/>
              <w:lang w:val="zh-CN"/>
            </w:rPr>
            <w:fldChar w:fldCharType="begin"/>
          </w:r>
          <w:r>
            <w:rPr>
              <w:rFonts w:ascii="Times New Roman" w:hAnsi="Times New Roman" w:eastAsia="宋体"/>
              <w:bCs/>
              <w:szCs w:val="24"/>
              <w:lang w:val="zh-CN"/>
            </w:rPr>
            <w:instrText xml:space="preserve"> HYPERLINK \l _Toc8545 </w:instrText>
          </w:r>
          <w:r>
            <w:rPr>
              <w:rFonts w:ascii="Times New Roman" w:hAnsi="Times New Roman" w:eastAsia="宋体"/>
              <w:bCs/>
              <w:szCs w:val="24"/>
              <w:lang w:val="zh-CN"/>
            </w:rPr>
            <w:fldChar w:fldCharType="separate"/>
          </w:r>
          <w:r>
            <w:rPr>
              <w:rFonts w:hint="eastAsia" w:ascii="Times New Roman" w:hAnsi="Times New Roman" w:eastAsia="宋体" w:cs="Times New Roman"/>
              <w:bCs/>
              <w:szCs w:val="24"/>
              <w:lang w:val="en-US" w:eastAsia="zh-CN"/>
            </w:rPr>
            <w:t>附件3  采样图片</w:t>
          </w:r>
          <w:r>
            <w:rPr>
              <w:rFonts w:ascii="Times New Roman" w:hAnsi="Times New Roman" w:eastAsia="宋体"/>
            </w:rPr>
            <w:tab/>
          </w:r>
          <w:r>
            <w:rPr>
              <w:rFonts w:ascii="Times New Roman" w:hAnsi="Times New Roman" w:eastAsia="宋体"/>
            </w:rPr>
            <w:fldChar w:fldCharType="begin"/>
          </w:r>
          <w:r>
            <w:rPr>
              <w:rFonts w:ascii="Times New Roman" w:hAnsi="Times New Roman" w:eastAsia="宋体"/>
            </w:rPr>
            <w:instrText xml:space="preserve"> PAGEREF _Toc8545 </w:instrText>
          </w:r>
          <w:r>
            <w:rPr>
              <w:rFonts w:ascii="Times New Roman" w:hAnsi="Times New Roman" w:eastAsia="宋体"/>
            </w:rPr>
            <w:fldChar w:fldCharType="separate"/>
          </w:r>
          <w:r>
            <w:rPr>
              <w:rFonts w:ascii="Times New Roman" w:hAnsi="Times New Roman" w:eastAsia="宋体"/>
            </w:rPr>
            <w:t>59</w:t>
          </w:r>
          <w:r>
            <w:rPr>
              <w:rFonts w:ascii="Times New Roman" w:hAnsi="Times New Roman" w:eastAsia="宋体"/>
            </w:rPr>
            <w:fldChar w:fldCharType="end"/>
          </w:r>
          <w:r>
            <w:rPr>
              <w:rFonts w:ascii="Times New Roman" w:hAnsi="Times New Roman" w:eastAsia="宋体"/>
              <w:bCs/>
              <w:szCs w:val="24"/>
              <w:lang w:val="zh-CN"/>
            </w:rPr>
            <w:fldChar w:fldCharType="end"/>
          </w:r>
        </w:p>
        <w:p>
          <w:pPr>
            <w:rPr>
              <w:rFonts w:ascii="Times New Roman" w:hAnsi="Times New Roman" w:eastAsia="宋体"/>
            </w:rPr>
          </w:pPr>
          <w:r>
            <w:rPr>
              <w:rFonts w:ascii="Times New Roman" w:hAnsi="Times New Roman" w:eastAsia="宋体"/>
              <w:bCs/>
              <w:szCs w:val="24"/>
              <w:lang w:val="zh-CN"/>
            </w:rPr>
            <w:fldChar w:fldCharType="end"/>
          </w:r>
        </w:p>
      </w:sdtContent>
    </w:sdt>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宋体"/>
          <w:b/>
          <w:bCs/>
          <w:sz w:val="21"/>
          <w:szCs w:val="21"/>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eastAsia" w:ascii="Times New Roman" w:hAnsi="Times New Roman" w:eastAsia="宋体" w:cs="Times New Roman"/>
          <w:sz w:val="30"/>
          <w:szCs w:val="30"/>
          <w:lang w:eastAsia="zh-CN"/>
        </w:rPr>
      </w:pPr>
      <w:bookmarkStart w:id="0" w:name="_Toc28141"/>
      <w:r>
        <w:rPr>
          <w:rFonts w:ascii="Times New Roman" w:hAnsi="Times New Roman" w:eastAsia="宋体" w:cs="Times New Roman"/>
          <w:sz w:val="30"/>
          <w:szCs w:val="30"/>
        </w:rPr>
        <w:t>1</w:t>
      </w:r>
      <w:r>
        <w:rPr>
          <w:rFonts w:hint="eastAsia" w:ascii="Times New Roman" w:hAnsi="Times New Roman" w:eastAsia="宋体" w:cs="Times New Roman"/>
          <w:sz w:val="30"/>
          <w:szCs w:val="30"/>
          <w:lang w:val="en-US" w:eastAsia="zh-CN"/>
        </w:rPr>
        <w:t>项目背景</w:t>
      </w:r>
      <w:bookmarkEnd w:id="0"/>
    </w:p>
    <w:p>
      <w:pPr>
        <w:pStyle w:val="5"/>
        <w:spacing w:line="360" w:lineRule="auto"/>
        <w:rPr>
          <w:rFonts w:hint="eastAsia" w:ascii="Times New Roman" w:hAnsi="Times New Roman" w:eastAsia="宋体" w:cs="Times New Roman"/>
          <w:sz w:val="28"/>
          <w:szCs w:val="28"/>
          <w:lang w:val="en-US" w:eastAsia="zh-CN"/>
        </w:rPr>
      </w:pPr>
      <w:bookmarkStart w:id="1" w:name="_Toc31454"/>
      <w:r>
        <w:rPr>
          <w:rFonts w:hint="eastAsia" w:ascii="Times New Roman" w:hAnsi="Times New Roman" w:eastAsia="宋体" w:cs="Times New Roman"/>
          <w:sz w:val="28"/>
          <w:szCs w:val="28"/>
          <w:lang w:val="en-US" w:eastAsia="zh-CN"/>
        </w:rPr>
        <w:t>1.1项目由来</w:t>
      </w:r>
      <w:bookmarkEnd w:id="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中华人民共和国土壤污染防治法》、《工矿用地土壤环境管理办法（试行）》（生态环境部令第3号）、《重点排污单位名录管理规定（试行）》（环办监测〔2017〕86号）等有关规定，为强化重点行业企业环境监管，做好土壤污染源头防范工作，南通市土壤污染防治工作协调小组办公室于2020年4 月研究制定了全市土壤污染重点监管单位名录（通土壤办〔2020〕2号），要求各地政府（管委会）与辖区内重点监管单位签订土壤污染防治责任书并向社会公开，并督促纳入名录的单位切实落实土壤污染防治主体责任。2020年</w:t>
      </w:r>
      <w:r>
        <w:rPr>
          <w:rFonts w:hint="eastAsia"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如东市</w:t>
      </w:r>
      <w:r>
        <w:rPr>
          <w:rFonts w:hint="eastAsia" w:ascii="Times New Roman" w:hAnsi="Times New Roman" w:eastAsia="宋体" w:cs="Times New Roman"/>
          <w:sz w:val="24"/>
          <w:szCs w:val="24"/>
        </w:rPr>
        <w:t>生态环境局与</w:t>
      </w:r>
      <w:r>
        <w:rPr>
          <w:rFonts w:ascii="Times New Roman" w:hAnsi="Times New Roman" w:eastAsia="宋体"/>
          <w:sz w:val="24"/>
          <w:szCs w:val="24"/>
        </w:rPr>
        <w:t>南通利奥化工科技有限公司</w:t>
      </w:r>
      <w:r>
        <w:rPr>
          <w:rFonts w:hint="eastAsia" w:ascii="Times New Roman" w:hAnsi="Times New Roman" w:eastAsia="宋体" w:cs="Times New Roman"/>
          <w:sz w:val="24"/>
          <w:szCs w:val="24"/>
        </w:rPr>
        <w:t>签订了《土壤污染防治责任书》</w:t>
      </w:r>
      <w:r>
        <w:rPr>
          <w:rFonts w:ascii="Times New Roman" w:hAnsi="Times New Roman" w:eastAsia="宋体" w:cs="Times New Roman"/>
          <w:sz w:val="24"/>
          <w:szCs w:val="24"/>
        </w:rPr>
        <w:t>，以“谁污染，谁治理”为基本原则，明确企业土壤污染防治承担主体责任，落实企业土壤环境保护任务措施，有效保障土壤环境质量和人居环境安全，确保不发生土壤环境风险事件。</w:t>
      </w:r>
    </w:p>
    <w:p>
      <w:pPr>
        <w:spacing w:line="360" w:lineRule="auto"/>
        <w:ind w:firstLine="480" w:firstLineChars="200"/>
        <w:rPr>
          <w:rFonts w:hint="eastAsia" w:ascii="Times New Roman" w:hAnsi="Times New Roman" w:eastAsia="宋体" w:cs="Times New Roman"/>
          <w:sz w:val="24"/>
          <w:lang w:val="en-US" w:eastAsia="zh-CN"/>
        </w:rPr>
      </w:pPr>
      <w:r>
        <w:rPr>
          <w:rFonts w:ascii="Times New Roman" w:hAnsi="Times New Roman" w:eastAsia="宋体"/>
          <w:sz w:val="24"/>
          <w:szCs w:val="24"/>
        </w:rPr>
        <w:t>南通利奥化工科技有限公司前身为如东县丰西生物化工厂，</w:t>
      </w:r>
      <w:r>
        <w:rPr>
          <w:rFonts w:ascii="Times New Roman" w:hAnsi="Times New Roman" w:eastAsia="宋体"/>
          <w:sz w:val="24"/>
        </w:rPr>
        <w:t>成立于2005年，是一家专业从事精细化学品</w:t>
      </w:r>
      <w:r>
        <w:rPr>
          <w:rFonts w:hint="eastAsia" w:ascii="Times New Roman" w:hAnsi="Times New Roman" w:eastAsia="宋体"/>
          <w:sz w:val="24"/>
        </w:rPr>
        <w:t>生产</w:t>
      </w:r>
      <w:r>
        <w:rPr>
          <w:rFonts w:ascii="Times New Roman" w:hAnsi="Times New Roman" w:eastAsia="宋体"/>
          <w:sz w:val="24"/>
        </w:rPr>
        <w:t>的企业，位于江苏省如东沿海经济开发区，注册资本2666.808万元，占地26668平方米。公司主要从事一氯苄、苯甲醛、三氯苄、苯甲酰氯以及二氯频哪酮产品的生产，公司具备</w:t>
      </w:r>
      <w:r>
        <w:rPr>
          <w:rFonts w:ascii="Times New Roman" w:hAnsi="Times New Roman" w:eastAsia="宋体"/>
          <w:sz w:val="24"/>
          <w:szCs w:val="24"/>
        </w:rPr>
        <w:t>786t/a 氯化苄、382t/a三氯</w:t>
      </w:r>
      <w:r>
        <w:rPr>
          <w:rFonts w:hint="eastAsia" w:ascii="Times New Roman" w:hAnsi="Times New Roman" w:eastAsia="宋体"/>
          <w:sz w:val="24"/>
          <w:szCs w:val="24"/>
        </w:rPr>
        <w:t>苄</w:t>
      </w:r>
      <w:r>
        <w:rPr>
          <w:rFonts w:ascii="Times New Roman" w:hAnsi="Times New Roman" w:eastAsia="宋体"/>
          <w:sz w:val="24"/>
          <w:szCs w:val="24"/>
        </w:rPr>
        <w:t>、636t/a苯甲醛、年产600吨3-,5二氯苯甲酰氯、940吨苯甲酰氯、40吨1,3,5-三氯苯以及1192吨30%盐酸</w:t>
      </w:r>
      <w:r>
        <w:rPr>
          <w:rFonts w:ascii="Times New Roman" w:hAnsi="Times New Roman" w:eastAsia="宋体"/>
          <w:sz w:val="24"/>
        </w:rPr>
        <w:t>和1500t/年二氯频哪酮</w:t>
      </w:r>
      <w:r>
        <w:rPr>
          <w:rFonts w:hint="eastAsia" w:ascii="Times New Roman" w:hAnsi="Times New Roman" w:eastAsia="宋体"/>
          <w:sz w:val="24"/>
          <w:lang w:val="en-US" w:eastAsia="zh-CN"/>
        </w:rPr>
        <w:t>的生产能力</w:t>
      </w:r>
      <w:r>
        <w:rPr>
          <w:rFonts w:hint="eastAsia" w:ascii="Times New Roman" w:hAnsi="Times New Roman" w:eastAsia="宋体" w:cs="Times New Roman"/>
          <w:sz w:val="24"/>
          <w:lang w:val="en-US" w:eastAsia="zh-CN"/>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按照《重点行业企业用地调查信息采集技术规定（试行）》、《在产企业土壤及地下水自行监测技术指南（征求意见稿）》、《土壤环境质量 建设用地土壤污染风险管控标准（试行）》、《地下水质量标准》、《环境影响评价技术导则 土壤环境（试行）》和《环境影响评价技术导则 地下水环境》等技术文件的要求</w:t>
      </w:r>
      <w:r>
        <w:rPr>
          <w:rFonts w:ascii="Times New Roman" w:hAnsi="Times New Roman" w:eastAsia="宋体" w:cs="Times New Roman"/>
          <w:sz w:val="24"/>
          <w:szCs w:val="24"/>
        </w:rPr>
        <w:t>，</w:t>
      </w:r>
      <w:r>
        <w:rPr>
          <w:rFonts w:ascii="Times New Roman" w:hAnsi="Times New Roman" w:eastAsia="宋体" w:cs="Times New Roman"/>
          <w:sz w:val="24"/>
        </w:rPr>
        <w:t>收集分析</w:t>
      </w:r>
      <w:r>
        <w:rPr>
          <w:rFonts w:hint="eastAsia" w:ascii="Times New Roman" w:hAnsi="Times New Roman" w:eastAsia="宋体" w:cs="Times New Roman"/>
          <w:bCs/>
          <w:sz w:val="24"/>
          <w:szCs w:val="24"/>
          <w:lang w:eastAsia="zh-CN"/>
        </w:rPr>
        <w:t>南通利奥化工科技有限公司</w:t>
      </w:r>
      <w:r>
        <w:rPr>
          <w:rFonts w:ascii="Times New Roman" w:hAnsi="Times New Roman" w:eastAsia="宋体" w:cs="Times New Roman"/>
          <w:sz w:val="24"/>
        </w:rPr>
        <w:t>地块的基本情况、重点区域、生产工艺和原辅材料及产品、工业三废、特征污染物以及周边敏感受体等信息，制定土壤及地下水监测</w:t>
      </w:r>
      <w:r>
        <w:rPr>
          <w:rFonts w:hint="eastAsia" w:ascii="Times New Roman" w:hAnsi="Times New Roman" w:eastAsia="宋体" w:cs="Times New Roman"/>
          <w:sz w:val="24"/>
          <w:lang w:val="en-US" w:eastAsia="zh-CN"/>
        </w:rPr>
        <w:t>报告</w:t>
      </w:r>
      <w:r>
        <w:rPr>
          <w:rFonts w:ascii="Times New Roman" w:hAnsi="Times New Roman" w:eastAsia="宋体" w:cs="Times New Roman"/>
          <w:sz w:val="24"/>
        </w:rPr>
        <w:t>。</w:t>
      </w:r>
    </w:p>
    <w:p>
      <w:pPr>
        <w:pStyle w:val="6"/>
        <w:spacing w:line="360" w:lineRule="auto"/>
        <w:rPr>
          <w:rFonts w:ascii="Times New Roman" w:hAnsi="Times New Roman" w:eastAsia="宋体" w:cs="Times New Roman"/>
          <w:sz w:val="24"/>
          <w:szCs w:val="24"/>
        </w:rPr>
      </w:pPr>
      <w:bookmarkStart w:id="2" w:name="_Toc7984"/>
      <w:r>
        <w:rPr>
          <w:rFonts w:ascii="Times New Roman" w:hAnsi="Times New Roman" w:eastAsia="宋体" w:cs="Times New Roman"/>
          <w:sz w:val="24"/>
          <w:szCs w:val="24"/>
        </w:rPr>
        <w:t>1.1.1工作目的</w:t>
      </w:r>
      <w:bookmarkEnd w:id="2"/>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根据重点监管企业土壤及地下水环境监测需求，开展</w:t>
      </w:r>
      <w:r>
        <w:rPr>
          <w:rFonts w:hint="eastAsia" w:ascii="Times New Roman" w:hAnsi="Times New Roman" w:eastAsia="宋体" w:cs="Times New Roman"/>
          <w:bCs/>
          <w:sz w:val="24"/>
          <w:szCs w:val="24"/>
          <w:lang w:eastAsia="zh-CN"/>
        </w:rPr>
        <w:t>南通利奥化工科技有限公司</w:t>
      </w:r>
      <w:r>
        <w:rPr>
          <w:rFonts w:ascii="Times New Roman" w:hAnsi="Times New Roman" w:eastAsia="宋体" w:cs="Times New Roman"/>
          <w:sz w:val="24"/>
        </w:rPr>
        <w:t>土壤及地下水定期监测工作，以及时了解企业在生产过程中对土壤及地下水影响的动态变化。监测结果可作为环境执法和风险预警的重要依据，可有效保障土壤及地下水质量安全。</w:t>
      </w:r>
    </w:p>
    <w:p>
      <w:pPr>
        <w:pStyle w:val="6"/>
        <w:spacing w:line="360" w:lineRule="auto"/>
        <w:rPr>
          <w:rFonts w:ascii="Times New Roman" w:hAnsi="Times New Roman" w:eastAsia="宋体" w:cs="Times New Roman"/>
          <w:sz w:val="24"/>
          <w:szCs w:val="24"/>
        </w:rPr>
      </w:pPr>
      <w:bookmarkStart w:id="3" w:name="_Toc58"/>
      <w:r>
        <w:rPr>
          <w:rFonts w:ascii="Times New Roman" w:hAnsi="Times New Roman" w:eastAsia="宋体" w:cs="Times New Roman"/>
          <w:sz w:val="24"/>
          <w:szCs w:val="24"/>
        </w:rPr>
        <w:t>1.1.2工作原则</w:t>
      </w:r>
      <w:bookmarkEnd w:id="3"/>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（1）针对性原则</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根据企业生产布局，将地块</w:t>
      </w:r>
      <w:r>
        <w:rPr>
          <w:rFonts w:ascii="Times New Roman" w:hAnsi="Times New Roman" w:eastAsia="宋体" w:cs="Times New Roman"/>
          <w:sz w:val="24"/>
          <w:szCs w:val="24"/>
        </w:rPr>
        <w:t>生产车间、原辅材料储存区、废水治理区以及危险废物贮存区等</w:t>
      </w:r>
      <w:r>
        <w:rPr>
          <w:rFonts w:ascii="Times New Roman" w:hAnsi="Times New Roman" w:eastAsia="宋体" w:cs="Times New Roman"/>
          <w:sz w:val="24"/>
        </w:rPr>
        <w:t>区域作为调查重点，有针对性地编制重点监管企业土壤及地下水监测方案。</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（2）规范性原则</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按照重点行业企业用地调查、场地调查、土壤及地下水环境影响评价等相关技术文件要求，开展重点监管企业土壤及地下水布点、采样和评价工作，确保土壤及地下水监测过程和评价结果的科学性、准确性和规范性。</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（3）可操作性原则</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综合考虑重点区域点位的代表性和可操作性，以及项目实施周期和经费等因素，确保重点监管企业土壤及地下水监测的切实可行。</w:t>
      </w:r>
    </w:p>
    <w:p>
      <w:pPr>
        <w:pStyle w:val="5"/>
        <w:spacing w:line="360" w:lineRule="auto"/>
        <w:rPr>
          <w:rFonts w:ascii="Times New Roman" w:hAnsi="Times New Roman" w:eastAsia="宋体" w:cs="Times New Roman"/>
          <w:sz w:val="28"/>
          <w:szCs w:val="28"/>
        </w:rPr>
      </w:pPr>
      <w:bookmarkStart w:id="4" w:name="_Toc9419"/>
      <w:r>
        <w:rPr>
          <w:rFonts w:ascii="Times New Roman" w:hAnsi="Times New Roman" w:eastAsia="宋体" w:cs="Times New Roman"/>
          <w:sz w:val="28"/>
          <w:szCs w:val="28"/>
        </w:rPr>
        <w:t>1.2工作依据</w:t>
      </w:r>
      <w:bookmarkEnd w:id="4"/>
    </w:p>
    <w:p>
      <w:pPr>
        <w:pStyle w:val="6"/>
        <w:spacing w:line="360" w:lineRule="auto"/>
        <w:rPr>
          <w:rFonts w:ascii="Times New Roman" w:hAnsi="Times New Roman" w:eastAsia="宋体" w:cs="Times New Roman"/>
          <w:sz w:val="24"/>
          <w:szCs w:val="24"/>
        </w:rPr>
      </w:pPr>
      <w:bookmarkStart w:id="5" w:name="_Toc2814"/>
      <w:r>
        <w:rPr>
          <w:rFonts w:ascii="Times New Roman" w:hAnsi="Times New Roman" w:eastAsia="宋体" w:cs="Times New Roman"/>
          <w:sz w:val="24"/>
          <w:szCs w:val="24"/>
        </w:rPr>
        <w:t>1.2.1 法律、法规及规范性文件</w:t>
      </w:r>
      <w:bookmarkEnd w:id="5"/>
    </w:p>
    <w:p>
      <w:pPr>
        <w:spacing w:line="360" w:lineRule="auto"/>
        <w:ind w:firstLine="480" w:firstLineChars="200"/>
        <w:jc w:val="left"/>
        <w:rPr>
          <w:rFonts w:hint="eastAsia" w:ascii="Times New Roman" w:hAnsi="Times New Roman" w:eastAsia="宋体" w:cs="Times New Roman"/>
          <w:sz w:val="24"/>
          <w:lang w:eastAsia="zh-CN"/>
        </w:rPr>
      </w:pPr>
      <w:r>
        <w:rPr>
          <w:rFonts w:ascii="Times New Roman" w:hAnsi="Times New Roman" w:eastAsia="宋体" w:cs="Times New Roman"/>
          <w:sz w:val="24"/>
        </w:rPr>
        <w:t>（1）</w:t>
      </w:r>
      <w:r>
        <w:rPr>
          <w:rFonts w:hint="eastAsia" w:ascii="Times New Roman" w:hAnsi="Times New Roman" w:eastAsia="宋体" w:cs="Times New Roman"/>
          <w:sz w:val="24"/>
        </w:rPr>
        <w:t>《中华人民共和国环境保护法》（2015 年 1 月 1 日）</w:t>
      </w:r>
      <w:r>
        <w:rPr>
          <w:rFonts w:hint="eastAsia" w:ascii="Times New Roman" w:hAnsi="Times New Roman" w:eastAsia="宋体" w:cs="Times New Roman"/>
          <w:sz w:val="24"/>
          <w:lang w:eastAsia="zh-CN"/>
        </w:rPr>
        <w:t>；</w:t>
      </w:r>
    </w:p>
    <w:p>
      <w:pPr>
        <w:spacing w:line="360" w:lineRule="auto"/>
        <w:ind w:firstLine="480" w:firstLineChars="200"/>
        <w:jc w:val="left"/>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ascii="Times New Roman" w:hAnsi="Times New Roman" w:eastAsia="宋体" w:cs="Times New Roman"/>
          <w:sz w:val="24"/>
        </w:rPr>
        <w:t>《中华人民共和国土壤污染防治法》（2019年1月1日起施行）</w:t>
      </w:r>
      <w:r>
        <w:rPr>
          <w:rFonts w:hint="eastAsia" w:ascii="Times New Roman" w:hAnsi="Times New Roman" w:eastAsia="宋体" w:cs="Times New Roman"/>
          <w:sz w:val="24"/>
          <w:lang w:eastAsia="zh-CN"/>
        </w:rPr>
        <w:t>；</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rPr>
        <w:t>）《土壤污染防治行动计划》（国发〔2016〕31号）；</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rPr>
        <w:t>）《污染场地土壤环境管理办法（试行）》（环境保护部令第42号）；</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rPr>
        <w:t>）《江苏省土壤污染防治工作方案》（苏政发〔2016〕169号）；</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rPr>
        <w:t>）《南通市土壤污染防治工作方案》（2017年3月）；</w:t>
      </w:r>
    </w:p>
    <w:p>
      <w:pPr>
        <w:spacing w:line="360" w:lineRule="auto"/>
        <w:ind w:firstLine="480" w:firstLineChars="200"/>
        <w:jc w:val="left"/>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7</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《关于公布南通市2020年度土壤污染重点监管单位名录的函》（通土壤办〔2020〕2号）</w:t>
      </w:r>
      <w:r>
        <w:rPr>
          <w:rFonts w:hint="eastAsia" w:ascii="Times New Roman" w:hAnsi="Times New Roman" w:eastAsia="宋体" w:cs="Times New Roman"/>
          <w:sz w:val="24"/>
          <w:lang w:eastAsia="zh-CN"/>
        </w:rPr>
        <w:t>；</w:t>
      </w:r>
    </w:p>
    <w:p>
      <w:pPr>
        <w:pStyle w:val="2"/>
        <w:ind w:firstLine="480" w:firstLineChars="200"/>
        <w:rPr>
          <w:rFonts w:hint="eastAsia" w:ascii="Times New Roman" w:hAnsi="Times New Roman" w:eastAsia="宋体"/>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8</w:t>
      </w:r>
      <w:r>
        <w:rPr>
          <w:rFonts w:hint="eastAsia" w:ascii="Times New Roman" w:hAnsi="Times New Roman" w:eastAsia="宋体" w:cs="Times New Roman"/>
          <w:sz w:val="24"/>
          <w:lang w:eastAsia="zh-CN"/>
        </w:rPr>
        <w:t>）《中华人民共和国水污染防治法》，2008年2月28日修订。</w:t>
      </w:r>
    </w:p>
    <w:p>
      <w:pPr>
        <w:spacing w:line="360" w:lineRule="auto"/>
        <w:ind w:firstLine="480" w:firstLineChars="200"/>
        <w:jc w:val="left"/>
        <w:rPr>
          <w:rFonts w:hint="eastAsia" w:ascii="Times New Roman" w:hAnsi="Times New Roman" w:eastAsia="宋体" w:cs="Times New Roman"/>
          <w:sz w:val="24"/>
        </w:rPr>
      </w:pPr>
    </w:p>
    <w:p>
      <w:pPr>
        <w:pStyle w:val="6"/>
        <w:spacing w:line="360" w:lineRule="auto"/>
        <w:rPr>
          <w:rFonts w:ascii="Times New Roman" w:hAnsi="Times New Roman" w:eastAsia="宋体" w:cs="Times New Roman"/>
          <w:sz w:val="24"/>
          <w:szCs w:val="24"/>
        </w:rPr>
      </w:pPr>
      <w:bookmarkStart w:id="6" w:name="_Toc7137"/>
      <w:r>
        <w:rPr>
          <w:rFonts w:ascii="Times New Roman" w:hAnsi="Times New Roman" w:eastAsia="宋体" w:cs="Times New Roman"/>
          <w:sz w:val="24"/>
          <w:szCs w:val="24"/>
        </w:rPr>
        <w:t xml:space="preserve">1.2.2 </w:t>
      </w:r>
      <w:r>
        <w:rPr>
          <w:rFonts w:hint="eastAsia" w:ascii="Times New Roman" w:hAnsi="Times New Roman" w:eastAsia="宋体" w:cs="Times New Roman"/>
          <w:sz w:val="24"/>
          <w:szCs w:val="24"/>
          <w:lang w:val="en-US" w:eastAsia="zh-CN"/>
        </w:rPr>
        <w:t>相关标准、</w:t>
      </w:r>
      <w:r>
        <w:rPr>
          <w:rFonts w:ascii="Times New Roman" w:hAnsi="Times New Roman" w:eastAsia="宋体" w:cs="Times New Roman"/>
          <w:sz w:val="24"/>
          <w:szCs w:val="24"/>
        </w:rPr>
        <w:t>技术规范</w:t>
      </w:r>
      <w:bookmarkEnd w:id="6"/>
    </w:p>
    <w:p>
      <w:pPr>
        <w:spacing w:line="360" w:lineRule="auto"/>
        <w:ind w:firstLine="480" w:firstLineChars="200"/>
        <w:jc w:val="left"/>
        <w:rPr>
          <w:rFonts w:hint="eastAsia" w:ascii="Times New Roman" w:hAnsi="Times New Roman" w:eastAsia="宋体" w:cs="Times New Roman"/>
          <w:sz w:val="24"/>
        </w:rPr>
      </w:pPr>
      <w:bookmarkStart w:id="7" w:name="_Toc19606"/>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《土壤环境质量 建设用地土壤污染风险管控标准》（GB 36600-2018）；</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（2）《地下水质量标准》（GB/T 14848-2017）；</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（3）《在产企业土壤及地下水自行监测技术指南》（报批稿）；</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（4）《建设用地土壤污染状况调查技术导则》（HJ25.1-2019）；</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（5）《建设用地土壤污染风险管控和修复监测技术导则》（HJ25.2-2019）；</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（6）《土壤环境监测技术规范》（HJ/T166-2004)；</w:t>
      </w:r>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7</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《地下水环境监测技术规范》（HJ/T164-2004）</w:t>
      </w:r>
    </w:p>
    <w:p>
      <w:pPr>
        <w:pStyle w:val="6"/>
        <w:spacing w:line="360" w:lineRule="auto"/>
        <w:rPr>
          <w:rFonts w:hint="eastAsia" w:ascii="Times New Roman" w:hAnsi="Times New Roman" w:eastAsia="宋体" w:cs="Times New Roman"/>
          <w:sz w:val="24"/>
          <w:szCs w:val="24"/>
          <w:lang w:val="en-US" w:eastAsia="zh-CN"/>
        </w:rPr>
      </w:pPr>
      <w:bookmarkStart w:id="8" w:name="_Toc8495"/>
      <w:r>
        <w:rPr>
          <w:rFonts w:hint="eastAsia" w:ascii="Times New Roman" w:hAnsi="Times New Roman" w:eastAsia="宋体" w:cs="Times New Roman"/>
          <w:sz w:val="24"/>
          <w:szCs w:val="24"/>
          <w:lang w:val="en-US" w:eastAsia="zh-CN"/>
        </w:rPr>
        <w:t>1.2.3企业资料</w:t>
      </w:r>
      <w:bookmarkEnd w:id="8"/>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（1）《南通利奥化工科技有限公司年产600t 3,5-二氯苯甲酰氯联产940t苯甲酰氯、40t1,3,5-三氯苯及1192t副产盐酸技术改造项目环境影响报告书》</w:t>
      </w:r>
      <w:r>
        <w:rPr>
          <w:rFonts w:hint="eastAsia" w:ascii="Times New Roman" w:hAnsi="Times New Roman" w:eastAsia="宋体" w:cs="Times New Roman"/>
          <w:sz w:val="24"/>
          <w:szCs w:val="24"/>
          <w:lang w:val="en-US" w:eastAsia="zh-CN"/>
        </w:rPr>
        <w:t>2015年12月</w:t>
      </w:r>
      <w:r>
        <w:rPr>
          <w:rFonts w:hint="eastAsia" w:ascii="Times New Roman" w:hAnsi="Times New Roman" w:eastAsia="宋体" w:cs="Times New Roman"/>
          <w:sz w:val="24"/>
          <w:szCs w:val="24"/>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（2）《南通利奥化工有限公司氯化苄联产苯甲醛、三氯苄、苯甲酰氯、氯代环戊烷、亚磷酸生产项目报告书》</w:t>
      </w:r>
      <w:r>
        <w:rPr>
          <w:rFonts w:hint="eastAsia" w:ascii="Times New Roman" w:hAnsi="Times New Roman" w:eastAsia="宋体" w:cs="Times New Roman"/>
          <w:sz w:val="24"/>
          <w:szCs w:val="24"/>
          <w:lang w:val="en-US" w:eastAsia="zh-CN"/>
        </w:rPr>
        <w:t>2010年12月</w:t>
      </w:r>
      <w:r>
        <w:rPr>
          <w:rFonts w:hint="eastAsia" w:ascii="Times New Roman" w:hAnsi="Times New Roman" w:eastAsia="宋体" w:cs="Times New Roman"/>
          <w:sz w:val="24"/>
          <w:szCs w:val="24"/>
        </w:rPr>
        <w:t>；</w:t>
      </w:r>
    </w:p>
    <w:p>
      <w:pPr>
        <w:spacing w:line="360" w:lineRule="auto"/>
        <w:ind w:firstLine="480" w:firstLineChars="200"/>
        <w:rPr>
          <w:rFonts w:hint="default" w:ascii="Times New Roman" w:hAnsi="Times New Roman" w:eastAsia="宋体" w:cs="Times New Roman"/>
          <w:sz w:val="24"/>
          <w:szCs w:val="24"/>
          <w:lang w:val="en-US" w:eastAsia="zh-CN"/>
        </w:rPr>
      </w:pP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南通丰越生物化工有限公司年产1500吨甲基叔丁基甲酮、800吨一氯频哪酮、8000吨氯化钙搬迁扩建项目环境影响报告书</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2008年7月；</w:t>
      </w:r>
    </w:p>
    <w:p>
      <w:pPr>
        <w:pStyle w:val="2"/>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（4）《南通利奥化工科技有限公司新建年产1500吨二氯频哪酮项目环境影响报告书》2007年12月；</w:t>
      </w:r>
    </w:p>
    <w:p>
      <w:pPr>
        <w:pStyle w:val="2"/>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（5）《南通利奥化工科技有限公司氯化车间岩土工程勘察报告》2013年3月。</w:t>
      </w:r>
    </w:p>
    <w:p>
      <w:pPr>
        <w:pStyle w:val="2"/>
        <w:rPr>
          <w:rFonts w:hint="default" w:ascii="Times New Roman" w:hAnsi="Times New Roman" w:eastAsia="宋体" w:cs="Times New Roman"/>
          <w:sz w:val="24"/>
          <w:lang w:val="en-US" w:eastAsia="zh-CN"/>
        </w:rPr>
      </w:pPr>
    </w:p>
    <w:bookmarkEnd w:id="7"/>
    <w:p>
      <w:pPr>
        <w:pStyle w:val="5"/>
        <w:spacing w:line="360" w:lineRule="auto"/>
        <w:rPr>
          <w:rFonts w:hint="eastAsia" w:ascii="Times New Roman" w:hAnsi="Times New Roman" w:eastAsia="宋体" w:cs="Times New Roman"/>
          <w:sz w:val="28"/>
          <w:szCs w:val="28"/>
          <w:lang w:eastAsia="zh-CN"/>
        </w:rPr>
      </w:pPr>
      <w:bookmarkStart w:id="9" w:name="_Toc8722"/>
      <w:r>
        <w:rPr>
          <w:rFonts w:ascii="Times New Roman" w:hAnsi="Times New Roman" w:eastAsia="宋体" w:cs="Times New Roman"/>
          <w:sz w:val="28"/>
          <w:szCs w:val="28"/>
        </w:rPr>
        <w:t>1.3工作</w:t>
      </w:r>
      <w:r>
        <w:rPr>
          <w:rFonts w:hint="eastAsia" w:ascii="Times New Roman" w:hAnsi="Times New Roman" w:eastAsia="宋体" w:cs="Times New Roman"/>
          <w:sz w:val="28"/>
          <w:szCs w:val="28"/>
          <w:lang w:val="en-US" w:eastAsia="zh-CN"/>
        </w:rPr>
        <w:t>内容</w:t>
      </w:r>
      <w:r>
        <w:rPr>
          <w:rFonts w:ascii="Times New Roman" w:hAnsi="Times New Roman" w:eastAsia="宋体" w:cs="Times New Roman"/>
          <w:sz w:val="28"/>
          <w:szCs w:val="28"/>
        </w:rPr>
        <w:t>及</w:t>
      </w:r>
      <w:r>
        <w:rPr>
          <w:rFonts w:hint="eastAsia" w:ascii="Times New Roman" w:hAnsi="Times New Roman" w:eastAsia="宋体" w:cs="Times New Roman"/>
          <w:sz w:val="28"/>
          <w:szCs w:val="28"/>
          <w:lang w:val="en-US" w:eastAsia="zh-CN"/>
        </w:rPr>
        <w:t>技术路线</w:t>
      </w:r>
      <w:bookmarkEnd w:id="9"/>
    </w:p>
    <w:p>
      <w:pPr>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rPr>
        <w:t>根据《</w:t>
      </w:r>
      <w:r>
        <w:rPr>
          <w:rFonts w:hint="eastAsia" w:ascii="Times New Roman" w:hAnsi="Times New Roman" w:eastAsia="宋体" w:cs="Times New Roman"/>
          <w:sz w:val="24"/>
          <w:lang w:val="en-US" w:eastAsia="zh-CN"/>
        </w:rPr>
        <w:t>建设用地土壤污染状况调查技术导则</w:t>
      </w:r>
      <w:r>
        <w:rPr>
          <w:rFonts w:hint="eastAsia" w:ascii="Times New Roman" w:hAnsi="Times New Roman" w:eastAsia="宋体" w:cs="Times New Roman"/>
          <w:sz w:val="24"/>
        </w:rPr>
        <w:t>》（HJ 25.1-201</w:t>
      </w:r>
      <w:r>
        <w:rPr>
          <w:rFonts w:hint="eastAsia" w:ascii="Times New Roman" w:hAnsi="Times New Roman" w:eastAsia="宋体" w:cs="Times New Roman"/>
          <w:sz w:val="24"/>
          <w:lang w:val="en-US" w:eastAsia="zh-CN"/>
        </w:rPr>
        <w:t>9</w:t>
      </w:r>
      <w:r>
        <w:rPr>
          <w:rFonts w:hint="eastAsia" w:ascii="Times New Roman" w:hAnsi="Times New Roman" w:eastAsia="宋体" w:cs="Times New Roman"/>
          <w:sz w:val="24"/>
        </w:rPr>
        <w:t>）和《在产企业土壤及地下水自行监测技术指南（报批稿）》等技术要求的相关要求，本次在产企业场地环境初步调查的工作内容主要包括资料收集与分析、现场踏勘、人员访谈和初步采样监测。</w:t>
      </w:r>
    </w:p>
    <w:p>
      <w:pPr>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通过资料收集与分析、现场踏勘和人员访谈的调查结果，对场地内或周围区域存在可能的污染源，初步确定污染物种类、浓度（程度）和空间分布</w:t>
      </w:r>
      <w:r>
        <w:rPr>
          <w:rFonts w:ascii="Times New Roman" w:hAnsi="Times New Roman" w:eastAsia="宋体" w:cs="Times New Roman"/>
          <w:sz w:val="24"/>
        </w:rPr>
        <w:t>。具体工作流程见图1.3-1。</w:t>
      </w:r>
    </w:p>
    <w:p>
      <w:pPr>
        <w:spacing w:line="360" w:lineRule="auto"/>
        <w:ind w:firstLine="480" w:firstLineChars="200"/>
        <w:jc w:val="left"/>
        <w:rPr>
          <w:rFonts w:ascii="Times New Roman" w:hAnsi="Times New Roman" w:eastAsia="宋体" w:cs="Times New Roman"/>
          <w:sz w:val="24"/>
        </w:rPr>
      </w:pPr>
    </w:p>
    <w:p>
      <w:pPr>
        <w:spacing w:line="360" w:lineRule="auto"/>
        <w:ind w:firstLine="420" w:firstLineChars="200"/>
        <w:jc w:val="center"/>
        <w:rPr>
          <w:rFonts w:ascii="Times New Roman" w:hAnsi="Times New Roman" w:eastAsia="宋体"/>
        </w:rPr>
      </w:pPr>
      <w:r>
        <w:rPr>
          <w:rFonts w:ascii="Times New Roman" w:hAnsi="Times New Roman" w:eastAsia="宋体"/>
          <w:sz w:val="21"/>
        </w:rPr>
        <w:pict>
          <v:rect id="_x0000_s1244" o:spid="_x0000_s1244" o:spt="1" style="position:absolute;left:0pt;margin-left:26.6pt;margin-top:8.45pt;height:247.45pt;width:379.5pt;z-index:251662336;mso-width-relative:page;mso-height-relative:page;" filled="f" stroked="t" coordsize="21600,21600">
            <v:path/>
            <v:fill on="f" focussize="0,0"/>
            <v:stroke weight="1.25pt" color="#FF0000"/>
            <v:imagedata o:title=""/>
            <o:lock v:ext="edit" aspectratio="f"/>
            <v:textbox>
              <w:txbxContent>
                <w:p/>
              </w:txbxContent>
            </v:textbox>
          </v:rect>
        </w:pict>
      </w:r>
      <w:r>
        <w:rPr>
          <w:rFonts w:ascii="Times New Roman" w:hAnsi="Times New Roman" w:eastAsia="宋体"/>
        </w:rPr>
        <w:drawing>
          <wp:inline distT="0" distB="0" distL="114300" distR="114300">
            <wp:extent cx="4562475" cy="6515100"/>
            <wp:effectExtent l="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tretch>
                      <a:fillRect/>
                    </a:stretch>
                  </pic:blipFill>
                  <pic:spPr>
                    <a:xfrm>
                      <a:off x="0" y="0"/>
                      <a:ext cx="4562475" cy="6515100"/>
                    </a:xfrm>
                    <a:prstGeom prst="rect">
                      <a:avLst/>
                    </a:prstGeom>
                    <a:noFill/>
                    <a:ln>
                      <a:noFill/>
                    </a:ln>
                  </pic:spPr>
                </pic:pic>
              </a:graphicData>
            </a:graphic>
          </wp:inline>
        </w:drawing>
      </w:r>
    </w:p>
    <w:p>
      <w:pPr>
        <w:spacing w:line="360" w:lineRule="auto"/>
        <w:ind w:firstLine="482" w:firstLineChars="200"/>
        <w:jc w:val="center"/>
        <w:rPr>
          <w:rFonts w:ascii="Times New Roman" w:hAnsi="Times New Roman" w:eastAsia="宋体" w:cs="Times New Roman"/>
          <w:sz w:val="24"/>
          <w:szCs w:val="24"/>
        </w:rPr>
      </w:pPr>
      <w:r>
        <w:rPr>
          <w:rFonts w:ascii="Times New Roman" w:hAnsi="Times New Roman" w:eastAsia="宋体" w:cs="Times New Roman"/>
          <w:b/>
          <w:bCs/>
          <w:color w:val="000000" w:themeColor="text1"/>
          <w:sz w:val="24"/>
          <w:szCs w:val="24"/>
        </w:rPr>
        <w:t>图1.3-1工作流程图</w:t>
      </w:r>
    </w:p>
    <w:p>
      <w:pPr>
        <w:pStyle w:val="4"/>
        <w:keepNext/>
        <w:keepLines/>
        <w:pageBreakBefore w:val="0"/>
        <w:widowControl w:val="0"/>
        <w:kinsoku/>
        <w:wordWrap/>
        <w:overflowPunct/>
        <w:topLinePunct w:val="0"/>
        <w:autoSpaceDE/>
        <w:autoSpaceDN/>
        <w:bidi w:val="0"/>
        <w:adjustRightInd/>
        <w:snapToGrid/>
        <w:spacing w:after="20" w:line="579" w:lineRule="auto"/>
        <w:textAlignment w:val="auto"/>
        <w:rPr>
          <w:rFonts w:hint="default" w:ascii="Times New Roman" w:hAnsi="Times New Roman" w:eastAsia="宋体" w:cs="Times New Roman"/>
          <w:sz w:val="30"/>
          <w:szCs w:val="30"/>
          <w:lang w:val="en-US" w:eastAsia="zh-CN"/>
        </w:rPr>
      </w:pPr>
      <w:bookmarkStart w:id="10" w:name="_Toc755"/>
      <w:r>
        <w:rPr>
          <w:rFonts w:hint="eastAsia" w:ascii="Times New Roman" w:hAnsi="Times New Roman" w:eastAsia="宋体" w:cs="Times New Roman"/>
          <w:sz w:val="30"/>
          <w:szCs w:val="30"/>
          <w:lang w:val="en-US" w:eastAsia="zh-CN"/>
        </w:rPr>
        <w:t>2企业概况</w:t>
      </w:r>
      <w:bookmarkEnd w:id="10"/>
    </w:p>
    <w:p>
      <w:pPr>
        <w:outlineLvl w:val="1"/>
        <w:rPr>
          <w:rFonts w:hint="eastAsia" w:ascii="Times New Roman" w:hAnsi="Times New Roman" w:eastAsia="宋体" w:cs="Times New Roman"/>
          <w:b/>
          <w:bCs/>
          <w:kern w:val="2"/>
          <w:sz w:val="28"/>
          <w:szCs w:val="28"/>
          <w:lang w:val="en-US" w:eastAsia="zh-CN" w:bidi="ar-SA"/>
        </w:rPr>
      </w:pPr>
      <w:bookmarkStart w:id="11" w:name="_Toc13282"/>
      <w:r>
        <w:rPr>
          <w:rFonts w:hint="eastAsia" w:ascii="Times New Roman" w:hAnsi="Times New Roman" w:eastAsia="宋体" w:cs="Times New Roman"/>
          <w:b/>
          <w:bCs/>
          <w:kern w:val="2"/>
          <w:sz w:val="28"/>
          <w:szCs w:val="28"/>
          <w:lang w:val="en-US" w:eastAsia="zh-CN" w:bidi="ar-SA"/>
        </w:rPr>
        <w:t>2.1企业基本信息</w:t>
      </w:r>
      <w:bookmarkEnd w:id="11"/>
    </w:p>
    <w:p>
      <w:pPr>
        <w:spacing w:line="360" w:lineRule="auto"/>
        <w:ind w:firstLine="480" w:firstLineChars="200"/>
        <w:rPr>
          <w:rFonts w:hint="eastAsia" w:ascii="Times New Roman" w:hAnsi="Times New Roman" w:eastAsia="宋体"/>
          <w:sz w:val="24"/>
          <w:lang w:eastAsia="zh-CN"/>
        </w:rPr>
      </w:pPr>
      <w:r>
        <w:rPr>
          <w:rFonts w:ascii="Times New Roman" w:hAnsi="Times New Roman" w:eastAsia="宋体"/>
          <w:sz w:val="24"/>
          <w:szCs w:val="24"/>
        </w:rPr>
        <w:t>南通利奥化工科技有限公司前身为如东县丰西生物化工厂，</w:t>
      </w:r>
      <w:r>
        <w:rPr>
          <w:rFonts w:ascii="Times New Roman" w:hAnsi="Times New Roman" w:eastAsia="宋体"/>
          <w:sz w:val="24"/>
        </w:rPr>
        <w:t>成立于2005年，是一家专业从事精细化学品</w:t>
      </w:r>
      <w:r>
        <w:rPr>
          <w:rFonts w:hint="eastAsia" w:ascii="Times New Roman" w:hAnsi="Times New Roman" w:eastAsia="宋体"/>
          <w:sz w:val="24"/>
        </w:rPr>
        <w:t>生产</w:t>
      </w:r>
      <w:r>
        <w:rPr>
          <w:rFonts w:ascii="Times New Roman" w:hAnsi="Times New Roman" w:eastAsia="宋体"/>
          <w:sz w:val="24"/>
        </w:rPr>
        <w:t>的企业，位于江苏省如东沿海经济开发区，注册资本2666.808万元，占地26668平方米。公司主要从事一氯苄、苯甲醛、三氯苄、苯甲酰氯以及二氯频哪酮产品的生产，公司具备</w:t>
      </w:r>
      <w:r>
        <w:rPr>
          <w:rFonts w:ascii="Times New Roman" w:hAnsi="Times New Roman" w:eastAsia="宋体"/>
          <w:sz w:val="24"/>
          <w:szCs w:val="24"/>
        </w:rPr>
        <w:t>786t/a 氯化苄、382t/a三氯</w:t>
      </w:r>
      <w:r>
        <w:rPr>
          <w:rFonts w:hint="eastAsia" w:ascii="Times New Roman" w:hAnsi="Times New Roman" w:eastAsia="宋体"/>
          <w:sz w:val="24"/>
          <w:szCs w:val="24"/>
        </w:rPr>
        <w:t>苄</w:t>
      </w:r>
      <w:r>
        <w:rPr>
          <w:rFonts w:ascii="Times New Roman" w:hAnsi="Times New Roman" w:eastAsia="宋体"/>
          <w:sz w:val="24"/>
          <w:szCs w:val="24"/>
        </w:rPr>
        <w:t>、636t/a苯甲醛、年产600吨3-,5二氯苯甲酰氯、940吨苯甲酰氯、40吨1,3,5-三氯苯以及1192吨30%盐酸</w:t>
      </w:r>
      <w:r>
        <w:rPr>
          <w:rFonts w:ascii="Times New Roman" w:hAnsi="Times New Roman" w:eastAsia="宋体"/>
          <w:sz w:val="24"/>
        </w:rPr>
        <w:t>和1500t/年二氯频哪酮</w:t>
      </w:r>
      <w:r>
        <w:rPr>
          <w:rFonts w:hint="eastAsia" w:ascii="Times New Roman" w:hAnsi="Times New Roman" w:eastAsia="宋体"/>
          <w:sz w:val="24"/>
          <w:lang w:val="en-US" w:eastAsia="zh-CN"/>
        </w:rPr>
        <w:t>的生产能力</w:t>
      </w:r>
      <w:r>
        <w:rPr>
          <w:rFonts w:hint="eastAsia" w:ascii="Times New Roman" w:hAnsi="Times New Roman" w:eastAsia="宋体"/>
          <w:sz w:val="24"/>
          <w:lang w:eastAsia="zh-CN"/>
        </w:rPr>
        <w:t>。</w:t>
      </w:r>
    </w:p>
    <w:p>
      <w:pPr>
        <w:spacing w:line="360" w:lineRule="auto"/>
        <w:jc w:val="center"/>
        <w:rPr>
          <w:rFonts w:ascii="Times New Roman" w:hAnsi="Times New Roman" w:eastAsia="宋体" w:cs="Times New Roman"/>
          <w:sz w:val="24"/>
          <w:szCs w:val="24"/>
        </w:rPr>
      </w:pPr>
      <w:r>
        <w:rPr>
          <w:rFonts w:ascii="Times New Roman" w:hAnsi="Times New Roman" w:eastAsia="宋体"/>
        </w:rPr>
        <w:drawing>
          <wp:inline distT="0" distB="0" distL="114300" distR="114300">
            <wp:extent cx="5271135" cy="4059555"/>
            <wp:effectExtent l="0" t="0" r="5715" b="1714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1"/>
                    <a:stretch>
                      <a:fillRect/>
                    </a:stretch>
                  </pic:blipFill>
                  <pic:spPr>
                    <a:xfrm>
                      <a:off x="0" y="0"/>
                      <a:ext cx="5271135" cy="4059555"/>
                    </a:xfrm>
                    <a:prstGeom prst="rect">
                      <a:avLst/>
                    </a:prstGeom>
                    <a:noFill/>
                    <a:ln>
                      <a:noFill/>
                    </a:ln>
                  </pic:spPr>
                </pic:pic>
              </a:graphicData>
            </a:graphic>
          </wp:inline>
        </w:drawing>
      </w:r>
      <w:r>
        <w:rPr>
          <w:rFonts w:ascii="Times New Roman" w:hAnsi="Times New Roman" w:eastAsia="宋体"/>
          <w:sz w:val="21"/>
        </w:rPr>
        <w:pict>
          <v:shape id="_x0000_s1257" o:spid="_x0000_s1257" o:spt="202" type="#_x0000_t202" style="position:absolute;left:0pt;margin-left:28.05pt;margin-top:13.2pt;height:22.5pt;width:31.5pt;z-index:251674624;mso-width-relative:page;mso-height-relative:page;" filled="f" stroked="f" coordsize="21600,21600">
            <v:path/>
            <v:fill on="f" focussize="0,0"/>
            <v:stroke on="f"/>
            <v:imagedata o:title=""/>
            <o:lock v:ext="edit" aspectratio="f"/>
            <v:textbox>
              <w:txbxContent>
                <w:p>
                  <w:pPr>
                    <w:rPr>
                      <w:rFonts w:hint="eastAsia" w:eastAsiaTheme="minorEastAsia"/>
                      <w:lang w:val="en-US" w:eastAsia="zh-CN"/>
                    </w:rPr>
                  </w:pPr>
                  <w:r>
                    <w:rPr>
                      <w:rFonts w:hint="eastAsia"/>
                      <w:lang w:val="en-US" w:eastAsia="zh-CN"/>
                    </w:rPr>
                    <w:t>N</w:t>
                  </w:r>
                </w:p>
              </w:txbxContent>
            </v:textbox>
          </v:shape>
        </w:pict>
      </w:r>
      <w:r>
        <w:rPr>
          <w:rFonts w:ascii="Times New Roman" w:hAnsi="Times New Roman" w:eastAsia="宋体"/>
          <w:sz w:val="21"/>
        </w:rPr>
        <w:pict>
          <v:line id="_x0000_s1258" o:spid="_x0000_s1258" o:spt="20" style="position:absolute;left:0pt;flip:y;margin-left:20.55pt;margin-top:20.7pt;height:37.5pt;width:0.05pt;z-index:251673600;mso-width-relative:page;mso-height-relative:page;" fillcolor="#FFFFFF" filled="t" stroked="t" coordsize="21600,21600">
            <v:path arrowok="t"/>
            <v:fill on="t" color2="#FFFFFF" focussize="0,0"/>
            <v:stroke color="#000000" endarrow="open"/>
            <v:imagedata o:title=""/>
            <o:lock v:ext="edit" aspectratio="f"/>
          </v:line>
        </w:pict>
      </w:r>
      <w:r>
        <w:rPr>
          <w:rFonts w:ascii="Times New Roman" w:hAnsi="Times New Roman" w:eastAsia="宋体" w:cs="Times New Roman"/>
          <w:b/>
          <w:bCs/>
          <w:color w:val="000000" w:themeColor="text1"/>
          <w:sz w:val="24"/>
          <w:szCs w:val="24"/>
        </w:rPr>
        <w:t>图</w:t>
      </w:r>
      <w:r>
        <w:rPr>
          <w:rFonts w:hint="eastAsia" w:ascii="Times New Roman" w:hAnsi="Times New Roman" w:eastAsia="宋体" w:cs="Times New Roman"/>
          <w:b/>
          <w:bCs/>
          <w:color w:val="000000" w:themeColor="text1"/>
          <w:sz w:val="24"/>
          <w:szCs w:val="24"/>
          <w:lang w:val="en-US" w:eastAsia="zh-CN"/>
        </w:rPr>
        <w:t>2</w:t>
      </w:r>
      <w:r>
        <w:rPr>
          <w:rFonts w:ascii="Times New Roman" w:hAnsi="Times New Roman" w:eastAsia="宋体" w:cs="Times New Roman"/>
          <w:b/>
          <w:bCs/>
          <w:color w:val="000000" w:themeColor="text1"/>
          <w:sz w:val="24"/>
          <w:szCs w:val="24"/>
        </w:rPr>
        <w:t>.1-1地理位置示意图</w:t>
      </w:r>
    </w:p>
    <w:p>
      <w:pPr>
        <w:pStyle w:val="2"/>
        <w:rPr>
          <w:rFonts w:hint="eastAsia" w:ascii="Times New Roman" w:hAnsi="Times New Roman" w:eastAsia="宋体"/>
          <w:lang w:val="en-US" w:eastAsia="zh-CN"/>
        </w:rPr>
      </w:pPr>
    </w:p>
    <w:p>
      <w:pPr>
        <w:pStyle w:val="2"/>
        <w:rPr>
          <w:rFonts w:hint="eastAsia" w:ascii="Times New Roman" w:hAnsi="Times New Roman" w:eastAsia="宋体"/>
          <w:lang w:val="en-US" w:eastAsia="zh-CN"/>
        </w:rPr>
      </w:pPr>
    </w:p>
    <w:p>
      <w:pPr>
        <w:pStyle w:val="2"/>
        <w:rPr>
          <w:rFonts w:hint="eastAsia" w:ascii="Times New Roman" w:hAnsi="Times New Roman" w:eastAsia="宋体"/>
          <w:lang w:val="en-US" w:eastAsia="zh-CN"/>
        </w:rPr>
      </w:pPr>
    </w:p>
    <w:p>
      <w:pPr>
        <w:pStyle w:val="5"/>
        <w:spacing w:line="360" w:lineRule="auto"/>
        <w:outlineLvl w:val="1"/>
        <w:rPr>
          <w:rFonts w:hint="eastAsia" w:ascii="Times New Roman" w:hAnsi="Times New Roman" w:eastAsia="宋体" w:cs="Times New Roman"/>
          <w:sz w:val="24"/>
          <w:szCs w:val="24"/>
          <w:lang w:val="en-US" w:eastAsia="zh-CN"/>
        </w:rPr>
      </w:pPr>
      <w:bookmarkStart w:id="12" w:name="_Toc27597"/>
      <w:r>
        <w:rPr>
          <w:rFonts w:hint="eastAsia" w:ascii="Times New Roman" w:hAnsi="Times New Roman" w:eastAsia="宋体" w:cs="Times New Roman"/>
          <w:sz w:val="24"/>
          <w:szCs w:val="24"/>
          <w:lang w:val="en-US" w:eastAsia="zh-CN"/>
        </w:rPr>
        <w:t>2.2企业平面图</w:t>
      </w:r>
      <w:bookmarkEnd w:id="12"/>
    </w:p>
    <w:p>
      <w:pPr>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rPr>
        <w:t>企业厂区平面布置图见图2.</w:t>
      </w:r>
      <w:r>
        <w:rPr>
          <w:rFonts w:hint="eastAsia" w:ascii="Times New Roman" w:hAnsi="Times New Roman" w:eastAsia="宋体" w:cs="Times New Roman"/>
          <w:bCs/>
          <w:sz w:val="24"/>
          <w:szCs w:val="24"/>
          <w:lang w:val="en-US" w:eastAsia="zh-CN"/>
        </w:rPr>
        <w:t>2</w:t>
      </w: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~2。</w:t>
      </w:r>
    </w:p>
    <w:p>
      <w:pPr>
        <w:pStyle w:val="2"/>
        <w:rPr>
          <w:rFonts w:ascii="Times New Roman" w:hAnsi="Times New Roman" w:eastAsia="宋体"/>
        </w:rPr>
      </w:pPr>
      <w:r>
        <w:rPr>
          <w:rFonts w:ascii="Times New Roman" w:hAnsi="Times New Roman" w:eastAsia="宋体"/>
        </w:rPr>
        <w:drawing>
          <wp:inline distT="0" distB="0" distL="114300" distR="114300">
            <wp:extent cx="5269865" cy="5531485"/>
            <wp:effectExtent l="0" t="0" r="698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9865" cy="5531485"/>
                    </a:xfrm>
                    <a:prstGeom prst="rect">
                      <a:avLst/>
                    </a:prstGeom>
                    <a:noFill/>
                    <a:ln>
                      <a:noFill/>
                    </a:ln>
                  </pic:spPr>
                </pic:pic>
              </a:graphicData>
            </a:graphic>
          </wp:inline>
        </w:drawing>
      </w:r>
    </w:p>
    <w:p>
      <w:pPr>
        <w:pStyle w:val="2"/>
        <w:jc w:val="center"/>
        <w:rPr>
          <w:rFonts w:hint="eastAsia" w:ascii="Times New Roman" w:hAnsi="Times New Roman" w:eastAsia="宋体" w:cs="宋体"/>
          <w:b/>
          <w:bCs/>
          <w:i w:val="0"/>
          <w:caps w:val="0"/>
          <w:color w:val="000000"/>
          <w:spacing w:val="0"/>
          <w:kern w:val="2"/>
          <w:sz w:val="21"/>
          <w:szCs w:val="21"/>
          <w:shd w:val="clear" w:fill="FFFFFF"/>
          <w:lang w:val="en-US" w:eastAsia="zh-CN" w:bidi="ar-SA"/>
        </w:rPr>
      </w:pPr>
      <w:r>
        <w:rPr>
          <w:rFonts w:hint="eastAsia" w:ascii="Times New Roman" w:hAnsi="Times New Roman" w:eastAsia="宋体" w:cs="宋体"/>
          <w:b/>
          <w:bCs/>
          <w:i w:val="0"/>
          <w:caps w:val="0"/>
          <w:color w:val="000000"/>
          <w:spacing w:val="0"/>
          <w:kern w:val="2"/>
          <w:sz w:val="21"/>
          <w:szCs w:val="21"/>
          <w:shd w:val="clear" w:fill="FFFFFF"/>
          <w:lang w:val="en-US" w:eastAsia="zh-CN" w:bidi="ar-SA"/>
        </w:rPr>
        <w:t>图2.2-1 企业厂区卫星平面图</w:t>
      </w:r>
    </w:p>
    <w:p>
      <w:pPr>
        <w:pStyle w:val="2"/>
        <w:jc w:val="center"/>
        <w:rPr>
          <w:rFonts w:hint="eastAsia" w:ascii="Times New Roman" w:hAnsi="Times New Roman" w:eastAsia="宋体" w:cs="宋体"/>
          <w:b/>
          <w:bCs/>
          <w:i w:val="0"/>
          <w:caps w:val="0"/>
          <w:color w:val="000000"/>
          <w:spacing w:val="0"/>
          <w:kern w:val="2"/>
          <w:sz w:val="21"/>
          <w:szCs w:val="21"/>
          <w:shd w:val="clear" w:fill="FFFFFF"/>
          <w:lang w:val="en-US" w:eastAsia="zh-CN" w:bidi="ar-SA"/>
        </w:rPr>
      </w:pPr>
    </w:p>
    <w:p>
      <w:pPr>
        <w:pStyle w:val="2"/>
        <w:jc w:val="center"/>
        <w:rPr>
          <w:rFonts w:hint="eastAsia" w:ascii="Times New Roman" w:hAnsi="Times New Roman" w:eastAsia="宋体" w:cs="宋体"/>
          <w:b/>
          <w:bCs/>
          <w:i w:val="0"/>
          <w:caps w:val="0"/>
          <w:color w:val="000000"/>
          <w:spacing w:val="0"/>
          <w:kern w:val="2"/>
          <w:sz w:val="21"/>
          <w:szCs w:val="21"/>
          <w:shd w:val="clear" w:fill="FFFFFF"/>
          <w:lang w:val="en-US" w:eastAsia="zh-CN" w:bidi="ar-SA"/>
        </w:rPr>
      </w:pPr>
    </w:p>
    <w:p>
      <w:pPr>
        <w:pStyle w:val="2"/>
        <w:jc w:val="center"/>
        <w:rPr>
          <w:rFonts w:hint="eastAsia" w:ascii="Times New Roman" w:hAnsi="Times New Roman" w:eastAsia="宋体" w:cs="宋体"/>
          <w:b/>
          <w:bCs/>
          <w:i w:val="0"/>
          <w:caps w:val="0"/>
          <w:color w:val="000000"/>
          <w:spacing w:val="0"/>
          <w:kern w:val="2"/>
          <w:sz w:val="21"/>
          <w:szCs w:val="21"/>
          <w:shd w:val="clear" w:fill="FFFFFF"/>
          <w:lang w:val="en-US" w:eastAsia="zh-CN" w:bidi="ar-SA"/>
        </w:rPr>
      </w:pPr>
    </w:p>
    <w:p>
      <w:pPr>
        <w:pStyle w:val="2"/>
        <w:jc w:val="center"/>
        <w:rPr>
          <w:rFonts w:hint="eastAsia" w:ascii="Times New Roman" w:hAnsi="Times New Roman" w:eastAsia="宋体" w:cs="宋体"/>
          <w:b/>
          <w:bCs/>
          <w:i w:val="0"/>
          <w:caps w:val="0"/>
          <w:color w:val="000000"/>
          <w:spacing w:val="0"/>
          <w:kern w:val="2"/>
          <w:sz w:val="21"/>
          <w:szCs w:val="21"/>
          <w:shd w:val="clear" w:fill="FFFFFF"/>
          <w:lang w:val="en-US" w:eastAsia="zh-CN" w:bidi="ar-SA"/>
        </w:rPr>
      </w:pPr>
    </w:p>
    <w:p>
      <w:pPr>
        <w:pStyle w:val="2"/>
        <w:jc w:val="both"/>
        <w:rPr>
          <w:rFonts w:hint="eastAsia" w:ascii="Times New Roman" w:hAnsi="Times New Roman" w:eastAsia="宋体" w:cs="宋体"/>
          <w:b/>
          <w:bCs/>
          <w:i w:val="0"/>
          <w:caps w:val="0"/>
          <w:color w:val="000000"/>
          <w:spacing w:val="0"/>
          <w:kern w:val="2"/>
          <w:sz w:val="21"/>
          <w:szCs w:val="21"/>
          <w:shd w:val="clear" w:fill="FFFFFF"/>
          <w:lang w:val="en-US" w:eastAsia="zh-CN" w:bidi="ar-S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jc w:val="both"/>
        <w:rPr>
          <w:rFonts w:ascii="Times New Roman" w:hAnsi="Times New Roman" w:eastAsia="宋体" w:cs="Times New Roman"/>
          <w:sz w:val="24"/>
          <w:szCs w:val="24"/>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start="1"/>
          <w:cols w:space="0" w:num="1"/>
          <w:rtlGutter w:val="0"/>
          <w:docGrid w:type="lines" w:linePitch="319" w:charSpace="0"/>
        </w:sectPr>
      </w:pPr>
      <w:r>
        <w:rPr>
          <w:rFonts w:ascii="Times New Roman" w:hAnsi="Times New Roman" w:eastAsia="宋体"/>
          <w:sz w:val="28"/>
        </w:rPr>
        <w:pict>
          <v:shape id="_x0000_s1255" o:spid="_x0000_s1255" o:spt="202" type="#_x0000_t202" style="position:absolute;left:0pt;margin-left:228.2pt;margin-top:382.85pt;height:30pt;width:259.5pt;z-index:251660288;mso-width-relative:page;mso-height-relative:page;" fillcolor="#FFFFFF" filled="t" stroked="f" coordsize="21600,21600">
            <v:path/>
            <v:fill on="t" color2="#FFFFFF" focussize="0,0"/>
            <v:stroke on="f"/>
            <v:imagedata o:title=""/>
            <o:lock v:ext="edit" aspectratio="f"/>
            <v:textbox>
              <w:txbxContent>
                <w:p>
                  <w:pPr>
                    <w:spacing w:line="360" w:lineRule="auto"/>
                    <w:ind w:firstLine="422" w:firstLineChars="200"/>
                    <w:jc w:val="both"/>
                    <w:rPr>
                      <w:rFonts w:hint="eastAsia" w:ascii="宋体" w:hAnsi="宋体" w:eastAsia="宋体" w:cs="宋体"/>
                      <w:b/>
                      <w:bCs/>
                      <w:i w:val="0"/>
                      <w:caps w:val="0"/>
                      <w:color w:val="000000"/>
                      <w:spacing w:val="0"/>
                      <w:sz w:val="21"/>
                      <w:szCs w:val="21"/>
                      <w:shd w:val="clear" w:fill="FFFFFF"/>
                    </w:rPr>
                  </w:pPr>
                  <w:r>
                    <w:rPr>
                      <w:rFonts w:hint="eastAsia" w:ascii="宋体" w:hAnsi="宋体" w:eastAsia="宋体" w:cs="宋体"/>
                      <w:b/>
                      <w:bCs/>
                      <w:i w:val="0"/>
                      <w:caps w:val="0"/>
                      <w:color w:val="000000"/>
                      <w:spacing w:val="0"/>
                      <w:sz w:val="21"/>
                      <w:szCs w:val="21"/>
                      <w:shd w:val="clear" w:fill="FFFFFF"/>
                    </w:rPr>
                    <w:t>图2.2-2 企业厂区平面布置图</w:t>
                  </w:r>
                </w:p>
                <w:p>
                  <w:pPr>
                    <w:rPr>
                      <w:rFonts w:hint="eastAsia"/>
                      <w:lang w:val="en-US" w:eastAsia="zh-CN"/>
                    </w:rPr>
                  </w:pPr>
                </w:p>
              </w:txbxContent>
            </v:textbox>
          </v:shape>
        </w:pict>
      </w:r>
      <w:r>
        <w:rPr>
          <w:rFonts w:hint="eastAsia" w:ascii="Times New Roman" w:hAnsi="Times New Roman" w:eastAsia="宋体"/>
          <w:lang w:val="en-US" w:eastAsia="zh-CN"/>
        </w:rPr>
        <w:drawing>
          <wp:anchor distT="0" distB="0" distL="114300" distR="114300" simplePos="0" relativeHeight="251659264" behindDoc="1" locked="0" layoutInCell="1" allowOverlap="1">
            <wp:simplePos x="0" y="0"/>
            <wp:positionH relativeFrom="column">
              <wp:posOffset>1991360</wp:posOffset>
            </wp:positionH>
            <wp:positionV relativeFrom="paragraph">
              <wp:posOffset>-1823085</wp:posOffset>
            </wp:positionV>
            <wp:extent cx="4806315" cy="8441690"/>
            <wp:effectExtent l="0" t="0" r="16510" b="13335"/>
            <wp:wrapNone/>
            <wp:docPr id="28" name="图片 28" descr="ddd3b97c375b9e97626433623ff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dd3b97c375b9e97626433623ff9755"/>
                    <pic:cNvPicPr>
                      <a:picLocks noChangeAspect="1"/>
                    </pic:cNvPicPr>
                  </pic:nvPicPr>
                  <pic:blipFill>
                    <a:blip r:embed="rId13"/>
                    <a:stretch>
                      <a:fillRect/>
                    </a:stretch>
                  </pic:blipFill>
                  <pic:spPr>
                    <a:xfrm rot="16200000">
                      <a:off x="0" y="0"/>
                      <a:ext cx="4806315" cy="8441690"/>
                    </a:xfrm>
                    <a:prstGeom prst="rect">
                      <a:avLst/>
                    </a:prstGeom>
                  </pic:spPr>
                </pic:pic>
              </a:graphicData>
            </a:graphic>
          </wp:anchor>
        </w:drawing>
      </w:r>
    </w:p>
    <w:p>
      <w:pPr>
        <w:pStyle w:val="5"/>
        <w:spacing w:line="360" w:lineRule="auto"/>
        <w:outlineLvl w:val="1"/>
        <w:rPr>
          <w:rFonts w:hint="default" w:ascii="Times New Roman" w:hAnsi="Times New Roman" w:eastAsia="宋体" w:cs="Times New Roman"/>
          <w:sz w:val="24"/>
          <w:szCs w:val="24"/>
          <w:lang w:val="en-US" w:eastAsia="zh-CN"/>
        </w:rPr>
      </w:pPr>
      <w:bookmarkStart w:id="13" w:name="_Toc21396"/>
      <w:r>
        <w:rPr>
          <w:rFonts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 xml:space="preserve"> 企业</w:t>
      </w:r>
      <w:r>
        <w:rPr>
          <w:rFonts w:hint="eastAsia" w:ascii="Times New Roman" w:hAnsi="Times New Roman" w:eastAsia="宋体" w:cs="Times New Roman"/>
          <w:sz w:val="24"/>
          <w:szCs w:val="24"/>
          <w:lang w:val="en-US" w:eastAsia="zh-CN"/>
        </w:rPr>
        <w:t>用地已有的环境调查与监测信息</w:t>
      </w:r>
      <w:bookmarkEnd w:id="13"/>
    </w:p>
    <w:p>
      <w:pPr>
        <w:spacing w:line="360" w:lineRule="auto"/>
        <w:ind w:firstLine="422" w:firstLineChars="200"/>
        <w:jc w:val="center"/>
        <w:rPr>
          <w:rFonts w:hint="eastAsia" w:ascii="Times New Roman" w:hAnsi="Times New Roman" w:eastAsia="宋体" w:cs="宋体"/>
          <w:b/>
          <w:bCs/>
          <w:sz w:val="24"/>
          <w:szCs w:val="24"/>
        </w:rPr>
      </w:pPr>
      <w:r>
        <w:rPr>
          <w:rFonts w:hint="eastAsia" w:ascii="Times New Roman" w:hAnsi="Times New Roman" w:eastAsia="宋体" w:cs="宋体"/>
          <w:b/>
          <w:bCs/>
          <w:i w:val="0"/>
          <w:caps w:val="0"/>
          <w:color w:val="000000"/>
          <w:spacing w:val="0"/>
          <w:sz w:val="21"/>
          <w:szCs w:val="21"/>
          <w:shd w:val="clear" w:fill="FFFFFF"/>
        </w:rPr>
        <w:t>表</w:t>
      </w:r>
      <w:r>
        <w:rPr>
          <w:rFonts w:hint="eastAsia" w:ascii="Times New Roman" w:hAnsi="Times New Roman" w:eastAsia="宋体" w:cs="宋体"/>
          <w:b/>
          <w:bCs/>
          <w:i w:val="0"/>
          <w:caps w:val="0"/>
          <w:color w:val="000000"/>
          <w:spacing w:val="0"/>
          <w:sz w:val="21"/>
          <w:szCs w:val="21"/>
          <w:shd w:val="clear" w:fill="FFFFFF"/>
          <w:lang w:val="en-US" w:eastAsia="zh-CN"/>
        </w:rPr>
        <w:t>2.3</w:t>
      </w:r>
      <w:r>
        <w:rPr>
          <w:rFonts w:hint="eastAsia" w:ascii="Times New Roman" w:hAnsi="Times New Roman" w:eastAsia="宋体" w:cs="宋体"/>
          <w:b/>
          <w:bCs/>
          <w:i w:val="0"/>
          <w:caps w:val="0"/>
          <w:color w:val="000000"/>
          <w:spacing w:val="0"/>
          <w:sz w:val="21"/>
          <w:szCs w:val="21"/>
          <w:shd w:val="clear" w:fill="FFFFFF"/>
        </w:rPr>
        <w:t>-</w:t>
      </w:r>
      <w:r>
        <w:rPr>
          <w:rFonts w:hint="eastAsia" w:ascii="Times New Roman" w:hAnsi="Times New Roman" w:eastAsia="宋体" w:cs="宋体"/>
          <w:b/>
          <w:bCs/>
          <w:i w:val="0"/>
          <w:caps w:val="0"/>
          <w:color w:val="000000"/>
          <w:spacing w:val="0"/>
          <w:sz w:val="21"/>
          <w:szCs w:val="21"/>
          <w:shd w:val="clear" w:fill="FFFFFF"/>
          <w:lang w:val="en-US" w:eastAsia="zh-CN"/>
        </w:rPr>
        <w:t>1</w:t>
      </w:r>
      <w:r>
        <w:rPr>
          <w:rFonts w:hint="eastAsia" w:ascii="Times New Roman" w:hAnsi="Times New Roman" w:eastAsia="宋体" w:cs="宋体"/>
          <w:b/>
          <w:bCs/>
          <w:i w:val="0"/>
          <w:caps w:val="0"/>
          <w:color w:val="000000"/>
          <w:spacing w:val="0"/>
          <w:sz w:val="21"/>
          <w:szCs w:val="21"/>
          <w:shd w:val="clear" w:fill="FFFFFF"/>
        </w:rPr>
        <w:t xml:space="preserve"> 应搜集的资料清单</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3192"/>
        <w:gridCol w:w="2338"/>
        <w:gridCol w:w="1035"/>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分类</w:t>
            </w:r>
          </w:p>
        </w:tc>
        <w:tc>
          <w:tcPr>
            <w:tcW w:w="3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信息项目</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目的</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来源</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是否收集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企业基本信息</w:t>
            </w:r>
          </w:p>
        </w:tc>
        <w:tc>
          <w:tcPr>
            <w:tcW w:w="3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企业名称、法定代表人、地址、地理位置、企业类型、企业规模、营业期限、行业类别、行业代码、所属工业园区或集聚区；地块面积、现使用权属、地块利用历史等</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确定企业位置、企业负责人、基本规模、所属行业、经营时间、地块权属、地块历史等信息</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企业、土地行政主管部门、国土资源、发展改革、规划等部门</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企业内各区域及设施信息</w:t>
            </w:r>
          </w:p>
        </w:tc>
        <w:tc>
          <w:tcPr>
            <w:tcW w:w="3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企业总平面布置图及面积；生产区、储存区、废水治理区、固体废物贮存或处置区等重点区域平面布置图及面积</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地上和地下罐槽清单；涉及有毒有害物质的管线平面图；工艺流程图；各厂房或设施的功能；使用、贮存、转运或产出的原辅材料、中间产品和最终产品清单</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废气、废水、固体废物收集、排放及处理情况</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确定企业和各车间平面布置及面积；各区域或设施涉及工艺流程；原辅材料、中间产品和最终产品使用、贮存、转运或产出情况；三废处理及排放情况。便于识别存在污染隐患的区域或设施及相应特征污染物</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企业、环保部门、安监部门</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迁移途径信息</w:t>
            </w:r>
          </w:p>
        </w:tc>
        <w:tc>
          <w:tcPr>
            <w:tcW w:w="3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地层结构、土壤质地、地面覆盖、土壤分层情况；地下水埋深/分布/流向/渗透性等特性</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确定企业水文地质情况，便于识别污染源迁移途径</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敏感受体信息</w:t>
            </w:r>
          </w:p>
        </w:tc>
        <w:tc>
          <w:tcPr>
            <w:tcW w:w="3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人口数量、敏感目标分布、地下水用途等</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便于确定所在地土壤及地下水相关标准或风险评估筛选值</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企业、环保部门</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已有的环境调查与监测信息</w:t>
            </w:r>
          </w:p>
        </w:tc>
        <w:tc>
          <w:tcPr>
            <w:tcW w:w="31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土壤和地下水环境调查监测数据；其它调查评估数据。</w:t>
            </w:r>
          </w:p>
        </w:tc>
        <w:tc>
          <w:tcPr>
            <w:tcW w:w="234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便于确定所在地土壤及地下水相关标准或风险评估筛选值</w:t>
            </w:r>
          </w:p>
        </w:tc>
        <w:tc>
          <w:tcPr>
            <w:tcW w:w="10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企业、环保部门、土地行政主管部门等</w:t>
            </w:r>
          </w:p>
        </w:tc>
        <w:tc>
          <w:tcPr>
            <w:tcW w:w="11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否</w:t>
            </w:r>
          </w:p>
        </w:tc>
      </w:tr>
    </w:tbl>
    <w:p>
      <w:pPr>
        <w:spacing w:line="360" w:lineRule="auto"/>
        <w:rPr>
          <w:rFonts w:hint="eastAsia" w:ascii="Times New Roman" w:hAnsi="Times New Roman" w:eastAsia="宋体" w:cs="Times New Roman"/>
          <w:sz w:val="24"/>
          <w:szCs w:val="24"/>
        </w:rPr>
      </w:pPr>
    </w:p>
    <w:p>
      <w:pPr>
        <w:pStyle w:val="2"/>
        <w:rPr>
          <w:rFonts w:hint="eastAsia" w:ascii="Times New Roman" w:hAnsi="Times New Roman" w:eastAsia="宋体" w:cs="Times New Roman"/>
          <w:sz w:val="28"/>
          <w:szCs w:val="28"/>
          <w:lang w:val="en-US" w:eastAsia="zh-CN"/>
        </w:rPr>
      </w:pPr>
    </w:p>
    <w:p>
      <w:pPr>
        <w:pStyle w:val="2"/>
        <w:rPr>
          <w:rFonts w:hint="eastAsia" w:ascii="Times New Roman" w:hAnsi="Times New Roman" w:eastAsia="宋体" w:cs="Times New Roman"/>
          <w:sz w:val="28"/>
          <w:szCs w:val="28"/>
          <w:lang w:val="en-US" w:eastAsia="zh-CN"/>
        </w:rPr>
      </w:pPr>
    </w:p>
    <w:p>
      <w:pPr>
        <w:pStyle w:val="4"/>
        <w:keepNext/>
        <w:keepLines/>
        <w:pageBreakBefore w:val="0"/>
        <w:widowControl w:val="0"/>
        <w:kinsoku/>
        <w:wordWrap/>
        <w:overflowPunct/>
        <w:topLinePunct w:val="0"/>
        <w:autoSpaceDE/>
        <w:autoSpaceDN/>
        <w:bidi w:val="0"/>
        <w:adjustRightInd/>
        <w:snapToGrid/>
        <w:spacing w:before="0" w:after="20" w:line="360" w:lineRule="auto"/>
        <w:textAlignment w:val="auto"/>
        <w:outlineLvl w:val="0"/>
        <w:rPr>
          <w:rFonts w:hint="eastAsia" w:ascii="Times New Roman" w:hAnsi="Times New Roman" w:eastAsia="宋体" w:cs="Times New Roman"/>
          <w:sz w:val="28"/>
          <w:szCs w:val="28"/>
          <w:lang w:val="en-US" w:eastAsia="zh-CN"/>
        </w:rPr>
      </w:pPr>
      <w:bookmarkStart w:id="14" w:name="_Toc24217"/>
      <w:r>
        <w:rPr>
          <w:rFonts w:hint="eastAsia" w:ascii="Times New Roman" w:hAnsi="Times New Roman" w:eastAsia="宋体" w:cs="Times New Roman"/>
          <w:sz w:val="28"/>
          <w:szCs w:val="28"/>
          <w:lang w:val="en-US" w:eastAsia="zh-CN"/>
        </w:rPr>
        <w:t>3周边环境及自然状况</w:t>
      </w:r>
      <w:bookmarkEnd w:id="14"/>
    </w:p>
    <w:p>
      <w:pPr>
        <w:pStyle w:val="2"/>
        <w:outlineLvl w:val="1"/>
        <w:rPr>
          <w:rFonts w:hint="eastAsia" w:ascii="Times New Roman" w:hAnsi="Times New Roman" w:eastAsia="宋体" w:cs="Times New Roman"/>
          <w:sz w:val="28"/>
          <w:szCs w:val="28"/>
          <w:lang w:val="en-US" w:eastAsia="zh-CN"/>
        </w:rPr>
      </w:pPr>
      <w:bookmarkStart w:id="15" w:name="_Toc25517"/>
      <w:r>
        <w:rPr>
          <w:rFonts w:hint="eastAsia" w:ascii="Times New Roman" w:hAnsi="Times New Roman" w:eastAsia="宋体" w:cs="Times New Roman"/>
          <w:sz w:val="28"/>
          <w:szCs w:val="28"/>
          <w:lang w:val="en-US" w:eastAsia="zh-CN"/>
        </w:rPr>
        <w:t>3.1 自然环境</w:t>
      </w:r>
      <w:bookmarkEnd w:id="15"/>
    </w:p>
    <w:p>
      <w:pPr>
        <w:pStyle w:val="2"/>
        <w:ind w:firstLine="480" w:firstLineChars="200"/>
        <w:outlineLvl w:val="2"/>
        <w:rPr>
          <w:rFonts w:hint="eastAsia" w:ascii="Times New Roman" w:hAnsi="Times New Roman" w:eastAsia="宋体" w:cs="Times New Roman"/>
          <w:sz w:val="24"/>
          <w:szCs w:val="24"/>
          <w:lang w:val="en-US" w:eastAsia="zh-CN"/>
        </w:rPr>
      </w:pPr>
      <w:bookmarkStart w:id="16" w:name="_Toc23159"/>
      <w:r>
        <w:rPr>
          <w:rFonts w:hint="eastAsia" w:ascii="Times New Roman" w:hAnsi="Times New Roman" w:eastAsia="宋体" w:cs="Times New Roman"/>
          <w:sz w:val="24"/>
          <w:szCs w:val="24"/>
          <w:lang w:val="en-US" w:eastAsia="zh-CN"/>
        </w:rPr>
        <w:t>1）气候环境</w:t>
      </w:r>
      <w:bookmarkEnd w:id="16"/>
    </w:p>
    <w:p>
      <w:pPr>
        <w:spacing w:line="360" w:lineRule="auto"/>
        <w:ind w:firstLine="480" w:firstLineChars="200"/>
        <w:rPr>
          <w:rFonts w:hint="eastAsia" w:ascii="Times New Roman" w:hAnsi="Times New Roman" w:eastAsia="宋体" w:cs="Times New Roman"/>
          <w:sz w:val="24"/>
          <w:szCs w:val="28"/>
        </w:rPr>
      </w:pPr>
      <w:r>
        <w:rPr>
          <w:rFonts w:hint="eastAsia" w:ascii="Times New Roman" w:hAnsi="Times New Roman" w:eastAsia="宋体" w:cs="Times New Roman"/>
          <w:sz w:val="24"/>
          <w:szCs w:val="28"/>
        </w:rPr>
        <w:t>如东县地处北半球中纬度及欧亚大陆东南沿海边缘，属于亚热带与温暖带的过渡地段，明显受海洋调节和季风环流的影响，形成典型的海洋性气候特点：四季分明，气候温和，雨量充沛，阳光充足，无霜期长。</w:t>
      </w:r>
    </w:p>
    <w:p>
      <w:pPr>
        <w:spacing w:line="360" w:lineRule="auto"/>
        <w:ind w:firstLine="480" w:firstLineChars="200"/>
        <w:rPr>
          <w:rFonts w:hint="eastAsia" w:ascii="Times New Roman" w:hAnsi="Times New Roman" w:eastAsia="宋体" w:cs="Times New Roman"/>
          <w:sz w:val="24"/>
          <w:szCs w:val="28"/>
        </w:rPr>
      </w:pPr>
      <w:r>
        <w:rPr>
          <w:rFonts w:hint="eastAsia" w:ascii="Times New Roman" w:hAnsi="Times New Roman" w:eastAsia="宋体" w:cs="Times New Roman"/>
          <w:sz w:val="24"/>
          <w:szCs w:val="28"/>
        </w:rPr>
        <w:t>全县年平均气温15.9℃，年平均降水量1057毫米，年平均光照2048.4小时。历年最大风速为20m/s，年平均风速3.0m/s。全年静风频率8.9％，以冬季静风频率最高（风频11.3％）。年平均霜期135天，年平均雾日32天，年平均雷暴日数为32.6天。</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8"/>
        </w:rPr>
        <w:t>由年均风频的月变化统计资料可以看出，全年各月主导风向角范围为NNW～S，从年均风频的季变化统计资料可以看出，该地区的年主导风向的风向角范围为ENE～ESE，出现频率为30.32%。</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ascii="Times New Roman" w:hAnsi="Times New Roman" w:eastAsia="宋体" w:cs="Times New Roman"/>
          <w:sz w:val="24"/>
          <w:szCs w:val="24"/>
        </w:rPr>
      </w:pPr>
      <w:bookmarkStart w:id="17" w:name="_Toc15032"/>
      <w:r>
        <w:rPr>
          <w:rFonts w:hint="eastAsia" w:ascii="Times New Roman" w:hAnsi="Times New Roman" w:eastAsia="宋体" w:cs="Times New Roman"/>
          <w:sz w:val="24"/>
          <w:szCs w:val="24"/>
          <w:lang w:val="en-US" w:eastAsia="zh-CN"/>
        </w:rPr>
        <w:t>2）地形地貌</w:t>
      </w:r>
      <w:bookmarkEnd w:id="17"/>
    </w:p>
    <w:p>
      <w:pPr>
        <w:pStyle w:val="7"/>
        <w:adjustRightInd w:val="0"/>
        <w:snapToGrid w:val="0"/>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企业</w:t>
      </w:r>
      <w:r>
        <w:rPr>
          <w:rFonts w:ascii="Times New Roman" w:hAnsi="Times New Roman" w:eastAsia="宋体"/>
          <w:sz w:val="24"/>
          <w:szCs w:val="24"/>
        </w:rPr>
        <w:t>所在地地质构造属中国东部新华夏系第一沉降带，地貌为长江三角洲平原，是近两千年来新沉积地区，本区地震频度低、强度弱、地震烈度在6度以下，为浅源构造地震，震源深度多在10-20km，基本发生在花岗岩质层中，属弱震区。如东地区的抗震设防烈度为7度，设计基本地震加速度为0.10g。</w:t>
      </w:r>
    </w:p>
    <w:p>
      <w:pPr>
        <w:pStyle w:val="7"/>
        <w:adjustRightInd w:val="0"/>
        <w:snapToGrid w:val="0"/>
        <w:spacing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lang w:val="en-US" w:eastAsia="zh-CN"/>
        </w:rPr>
        <w:t>企业</w:t>
      </w:r>
      <w:r>
        <w:rPr>
          <w:rFonts w:ascii="Times New Roman" w:hAnsi="Times New Roman" w:eastAsia="宋体"/>
          <w:sz w:val="24"/>
          <w:szCs w:val="24"/>
        </w:rPr>
        <w:t>所在地地势平坦，海拔高程在2.8-4.1m之间，局部地区在6.2-6.5m之间，为黄海滩涂围垦地，工程地质情况一般。土层分布为：一层亚砂土，浅灰色，新近沉积，欠均质，层厚在2m左右，地基容许承载力为100Kpa；二层亚砂土，浅灰色，饱和，层厚在0.3-1m左右，大部分尖灭；三层粉砂夹亚砂土，灰，饱和，未渗透，地基容许承载力为140Kpa。</w:t>
      </w:r>
    </w:p>
    <w:p>
      <w:pPr>
        <w:tabs>
          <w:tab w:val="left" w:pos="786"/>
        </w:tabs>
        <w:adjustRightInd w:val="0"/>
        <w:snapToGrid w:val="0"/>
        <w:spacing w:line="360" w:lineRule="auto"/>
        <w:ind w:firstLine="482"/>
        <w:rPr>
          <w:rFonts w:ascii="Times New Roman" w:hAnsi="Times New Roman" w:eastAsia="宋体" w:cs="Times New Roman"/>
          <w:sz w:val="24"/>
          <w:szCs w:val="28"/>
        </w:rPr>
      </w:pPr>
      <w:r>
        <w:rPr>
          <w:rFonts w:ascii="Times New Roman" w:hAnsi="Times New Roman" w:eastAsia="宋体"/>
          <w:sz w:val="24"/>
          <w:szCs w:val="24"/>
        </w:rPr>
        <w:t>如东县土壤属浅色草甸系列，分为潮土和盐土两大类。土壤质地良好，土层深厚，无严重障碍层，以中性、微碱性轻、中壤为主，土体结构具有沙粘相间的特点</w:t>
      </w:r>
      <w:r>
        <w:rPr>
          <w:rFonts w:ascii="Times New Roman" w:hAnsi="Times New Roman" w:eastAsia="宋体" w:cs="Times New Roman"/>
          <w:sz w:val="24"/>
          <w:szCs w:val="28"/>
        </w:rPr>
        <w:t>。</w:t>
      </w:r>
    </w:p>
    <w:p>
      <w:pPr>
        <w:pStyle w:val="2"/>
        <w:outlineLvl w:val="9"/>
        <w:rPr>
          <w:rFonts w:ascii="Times New Roman" w:hAnsi="Times New Roman" w:eastAsia="宋体"/>
        </w:rPr>
      </w:pPr>
    </w:p>
    <w:p>
      <w:pPr>
        <w:pStyle w:val="2"/>
        <w:numPr>
          <w:ilvl w:val="0"/>
          <w:numId w:val="0"/>
        </w:numPr>
        <w:ind w:leftChars="0" w:firstLine="480" w:firstLineChars="200"/>
        <w:outlineLvl w:val="9"/>
        <w:rPr>
          <w:rFonts w:hint="eastAsia" w:ascii="Times New Roman" w:hAnsi="Times New Roman" w:eastAsia="宋体" w:cs="Times New Roman"/>
          <w:sz w:val="24"/>
          <w:szCs w:val="24"/>
          <w:lang w:val="en-US" w:eastAsia="zh-CN"/>
        </w:rPr>
      </w:pPr>
      <w:bookmarkStart w:id="18" w:name="_Toc2058"/>
    </w:p>
    <w:p>
      <w:pPr>
        <w:pStyle w:val="2"/>
        <w:numPr>
          <w:ilvl w:val="0"/>
          <w:numId w:val="0"/>
        </w:numPr>
        <w:ind w:leftChars="0" w:firstLine="480" w:firstLineChars="200"/>
        <w:outlineLvl w:val="9"/>
        <w:rPr>
          <w:rFonts w:hint="eastAsia" w:ascii="Times New Roman" w:hAnsi="Times New Roman" w:eastAsia="宋体" w:cs="Times New Roman"/>
          <w:sz w:val="24"/>
          <w:szCs w:val="24"/>
          <w:lang w:val="en-US" w:eastAsia="zh-CN"/>
        </w:rPr>
      </w:pPr>
    </w:p>
    <w:p>
      <w:pPr>
        <w:pStyle w:val="2"/>
        <w:numPr>
          <w:ilvl w:val="0"/>
          <w:numId w:val="0"/>
        </w:numPr>
        <w:ind w:leftChars="0" w:firstLine="480" w:firstLineChars="200"/>
        <w:outlineLvl w:val="2"/>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3）水文地质情况</w:t>
      </w:r>
      <w:bookmarkEnd w:id="18"/>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（1）内河</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如东全县水资源总量为14.72亿m</w:t>
      </w:r>
      <w:r>
        <w:rPr>
          <w:rFonts w:hint="eastAsia" w:ascii="Times New Roman" w:hAnsi="Times New Roman" w:eastAsia="宋体" w:cs="宋体"/>
          <w:color w:val="000000"/>
          <w:sz w:val="24"/>
          <w:szCs w:val="24"/>
          <w:vertAlign w:val="superscript"/>
        </w:rPr>
        <w:t>3</w:t>
      </w:r>
      <w:r>
        <w:rPr>
          <w:rFonts w:hint="eastAsia" w:ascii="Times New Roman" w:hAnsi="Times New Roman" w:eastAsia="宋体" w:cs="宋体"/>
          <w:color w:val="000000"/>
          <w:sz w:val="24"/>
          <w:szCs w:val="24"/>
        </w:rPr>
        <w:t>，主要来自降水和引长江水，一般年平均引水量为5.20亿m</w:t>
      </w:r>
      <w:r>
        <w:rPr>
          <w:rFonts w:hint="eastAsia" w:ascii="Times New Roman" w:hAnsi="Times New Roman" w:eastAsia="宋体" w:cs="宋体"/>
          <w:color w:val="000000"/>
          <w:sz w:val="24"/>
          <w:szCs w:val="24"/>
          <w:vertAlign w:val="superscript"/>
        </w:rPr>
        <w:t>3</w:t>
      </w:r>
      <w:r>
        <w:rPr>
          <w:rFonts w:hint="eastAsia" w:ascii="Times New Roman" w:hAnsi="Times New Roman" w:eastAsia="宋体" w:cs="宋体"/>
          <w:color w:val="000000"/>
          <w:sz w:val="24"/>
          <w:szCs w:val="24"/>
        </w:rPr>
        <w:t>，降水产生的地表径流量为5.54亿m</w:t>
      </w:r>
      <w:r>
        <w:rPr>
          <w:rFonts w:hint="eastAsia" w:ascii="Times New Roman" w:hAnsi="Times New Roman" w:eastAsia="宋体" w:cs="宋体"/>
          <w:color w:val="000000"/>
          <w:sz w:val="24"/>
          <w:szCs w:val="24"/>
          <w:vertAlign w:val="superscript"/>
        </w:rPr>
        <w:t>3</w:t>
      </w:r>
      <w:r>
        <w:rPr>
          <w:rFonts w:hint="eastAsia" w:ascii="Times New Roman" w:hAnsi="Times New Roman" w:eastAsia="宋体" w:cs="宋体"/>
          <w:color w:val="000000"/>
          <w:sz w:val="24"/>
          <w:szCs w:val="24"/>
        </w:rPr>
        <w:t>，地下水径流量4.40亿m</w:t>
      </w:r>
      <w:r>
        <w:rPr>
          <w:rFonts w:hint="eastAsia" w:ascii="Times New Roman" w:hAnsi="Times New Roman" w:eastAsia="宋体" w:cs="宋体"/>
          <w:color w:val="000000"/>
          <w:sz w:val="24"/>
          <w:szCs w:val="24"/>
          <w:vertAlign w:val="superscript"/>
        </w:rPr>
        <w:t>3</w:t>
      </w:r>
      <w:r>
        <w:rPr>
          <w:rFonts w:hint="eastAsia" w:ascii="Times New Roman" w:hAnsi="Times New Roman" w:eastAsia="宋体" w:cs="宋体"/>
          <w:color w:val="000000"/>
          <w:sz w:val="24"/>
          <w:szCs w:val="24"/>
        </w:rPr>
        <w:t>，可利用量约为11.7亿m</w:t>
      </w:r>
      <w:r>
        <w:rPr>
          <w:rFonts w:hint="eastAsia" w:ascii="Times New Roman" w:hAnsi="Times New Roman" w:eastAsia="宋体" w:cs="宋体"/>
          <w:color w:val="000000"/>
          <w:sz w:val="24"/>
          <w:szCs w:val="24"/>
          <w:vertAlign w:val="superscript"/>
        </w:rPr>
        <w:t>3</w:t>
      </w:r>
      <w:r>
        <w:rPr>
          <w:rFonts w:hint="eastAsia" w:ascii="Times New Roman" w:hAnsi="Times New Roman" w:eastAsia="宋体" w:cs="宋体"/>
          <w:color w:val="000000"/>
          <w:sz w:val="24"/>
          <w:szCs w:val="24"/>
        </w:rPr>
        <w:t>。</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境内河网水系及流域以如泰运河为界，分属长江和淮河两大水系，汇流基本经由小洋口闸流入海域，小洋口闸的闸口宽度为12米，可通过1000吨的船舶，为渔民习惯性航道。</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lang w:eastAsia="zh-CN"/>
        </w:rPr>
        <w:t>如东县洋口化工聚集区黄海二路南侧、洋口三路西侧地块</w:t>
      </w:r>
      <w:r>
        <w:rPr>
          <w:rFonts w:hint="eastAsia" w:ascii="Times New Roman" w:hAnsi="Times New Roman" w:eastAsia="宋体" w:cs="宋体"/>
          <w:color w:val="000000"/>
          <w:sz w:val="24"/>
          <w:szCs w:val="24"/>
        </w:rPr>
        <w:t>及项目附近区域河流主要有栟茶运河、九洋河、南凌河、马丰河等河流。</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栟茶运河（如东段）：由海安西场至小洋口闸，全长38.0km。主要通往苏北地区，为五级航道，可通行300吨船舶。水环境功能区为工业用水区。</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九洋河：由九圩港河至小洋口闸，全长35.1km。可直通长江，为七级航道，可通行200吨船舶。水环境功能区为工业用水区。</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马丰河：由九圩港河至洋口农场北匡河，全长24.6km。可直通长江，为五级航道，可通行300吨船舶。水环境功能区为农业用水区。</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南凌河：由如东如皋交界处至小洋口闸，全长27.0km。水环境功能区为工业用水区。</w:t>
      </w:r>
    </w:p>
    <w:p>
      <w:pPr>
        <w:pStyle w:val="47"/>
        <w:spacing w:line="360"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进水河：为围垦固堤时形成的匡河，该河北、东、南三面环绕一期用地，河面宽约20米，具备排咸功能。</w:t>
      </w:r>
    </w:p>
    <w:p>
      <w:pPr>
        <w:pStyle w:val="47"/>
        <w:spacing w:line="360"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内河水体环境功能均为三类水体。</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（2）地下水</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如东县地下水潜水层埋深1.0-1.5米，可供开发利用的地下水资源主要来自埋深250-280米的第Ⅲ承压层和埋深为340-450米的第Ⅳ承压层。项目所在区域地下水有两类：一类为浅层水，由于地处沿海，该层水含盐量大，矿化度高，水质差，不能灌溉与饮用；另一类为地下深层水，水量丰富，水质较好，矿化度为1-1.5g/L，可以饮用和农田灌溉。</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（3）小洋口海区</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根据《国务院关于江苏省海洋功能区划的批复》（国函[2006]119号），小洋口新闸河口外3公里半径扇形区为第三类海水功能区，其余地区为第二类海水功能区。园区污水处理厂排水经小洋口新闸排海，该海域使用现状为泄洪，接纳本县中西部和洋口镇工业园区等地污水，栟茶运河长73km，年均径流量3.93亿m</w:t>
      </w:r>
      <w:r>
        <w:rPr>
          <w:rFonts w:hint="eastAsia" w:ascii="Times New Roman" w:hAnsi="Times New Roman" w:eastAsia="宋体" w:cs="宋体"/>
          <w:color w:val="000000"/>
          <w:sz w:val="24"/>
          <w:szCs w:val="24"/>
          <w:vertAlign w:val="superscript"/>
        </w:rPr>
        <w:t>3</w:t>
      </w:r>
      <w:r>
        <w:rPr>
          <w:rFonts w:hint="eastAsia" w:ascii="Times New Roman" w:hAnsi="Times New Roman" w:eastAsia="宋体" w:cs="宋体"/>
          <w:color w:val="000000"/>
          <w:sz w:val="24"/>
          <w:szCs w:val="24"/>
        </w:rPr>
        <w:t>，受无机氮、无机磷和铅污染，污染物等标排放量1000t/a。</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小洋口海区潮流属不规则半日潮流，涨、落潮流的流速及历时皆不等，大、中、小潮的平均流速分别为0.82m/s、0.55m/s、0.33m/s，海区近低层流速较大，为1.4m/s。该海潮分为旋转流和往复流两种类型，但其潮流主轴方面均一致。小洋口闸下游外航道的潮流，涨潮流流向西南，流速为0.8m/s，落潮流流向东北，最大流速0.5m/s。</w:t>
      </w:r>
    </w:p>
    <w:p>
      <w:pPr>
        <w:pStyle w:val="47"/>
        <w:spacing w:line="324" w:lineRule="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受天文大潮和风暴的影响，该海区至东台市沿海地区是全省高潮位最高的地区，其潮差最大。根据小洋口水文站资料，该地区历年低潮位都发生在冬季，其特征潮位如下：</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历史最高潮位：    6.77m（1981.9.1）</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历史最低潮位：    -1.04m（1958.10.23）</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平均高潮位：      3.08m</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多年平均高潮位：  5.41m</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平均低潮位：      0.86m</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最大潮差：        6.39m</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最小潮差：        1.96m</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平均潮差：        4.41m</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平均涨潮历时：    3小时08分</w:t>
      </w:r>
    </w:p>
    <w:p>
      <w:pPr>
        <w:pStyle w:val="47"/>
        <w:spacing w:line="324" w:lineRule="auto"/>
        <w:ind w:firstLine="960" w:firstLineChars="400"/>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平均落潮历时：    9小时17分</w:t>
      </w:r>
    </w:p>
    <w:p>
      <w:pPr>
        <w:pStyle w:val="32"/>
        <w:adjustRightInd w:val="0"/>
        <w:snapToGrid w:val="0"/>
        <w:spacing w:line="360" w:lineRule="auto"/>
        <w:ind w:firstLine="482"/>
        <w:rPr>
          <w:rFonts w:hint="eastAsia" w:ascii="Times New Roman" w:hAnsi="Times New Roman" w:eastAsia="宋体" w:cs="宋体"/>
          <w:bCs w:val="0"/>
          <w:sz w:val="24"/>
          <w:szCs w:val="24"/>
          <w:shd w:val="pct10" w:color="auto" w:fill="FFFFFF"/>
        </w:rPr>
      </w:pPr>
      <w:r>
        <w:rPr>
          <w:rFonts w:hint="eastAsia" w:ascii="Times New Roman" w:hAnsi="Times New Roman" w:eastAsia="宋体" w:cs="宋体"/>
          <w:color w:val="000000"/>
          <w:sz w:val="24"/>
          <w:szCs w:val="24"/>
        </w:rPr>
        <w:t>小洋口出海水道由闸下引河通小洋港边接黄砂洋。黄砂洋潮汐通道呈喇叭形从东向西伸入，至北坎岸外转向西北至洋口，其主槽长23km，宽7～8km，最大海底标高-32m，-20m深槽宽1.0km以上，长3km</w:t>
      </w:r>
      <w:r>
        <w:rPr>
          <w:rFonts w:hint="eastAsia" w:ascii="Times New Roman" w:hAnsi="Times New Roman" w:eastAsia="宋体" w:cs="宋体"/>
          <w:bCs w:val="0"/>
          <w:sz w:val="24"/>
          <w:szCs w:val="24"/>
        </w:rPr>
        <w:t>。</w:t>
      </w:r>
    </w:p>
    <w:p>
      <w:pPr>
        <w:pStyle w:val="2"/>
        <w:outlineLvl w:val="1"/>
        <w:rPr>
          <w:rFonts w:hint="eastAsia" w:ascii="Times New Roman" w:hAnsi="Times New Roman" w:eastAsia="宋体" w:cs="Times New Roman"/>
          <w:sz w:val="28"/>
          <w:szCs w:val="28"/>
          <w:lang w:val="en-US" w:eastAsia="zh-CN"/>
        </w:rPr>
      </w:pPr>
      <w:bookmarkStart w:id="19" w:name="_Toc25092"/>
      <w:r>
        <w:rPr>
          <w:rFonts w:hint="eastAsia" w:ascii="Times New Roman" w:hAnsi="Times New Roman" w:eastAsia="宋体" w:cs="Times New Roman"/>
          <w:sz w:val="28"/>
          <w:szCs w:val="28"/>
          <w:lang w:val="en-US" w:eastAsia="zh-CN"/>
        </w:rPr>
        <w:t>3.2社会环境</w:t>
      </w:r>
      <w:bookmarkEnd w:id="19"/>
    </w:p>
    <w:p>
      <w:pPr>
        <w:pStyle w:val="2"/>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周边地块用途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宋体"/>
          <w:color w:val="000000"/>
          <w:sz w:val="24"/>
          <w:szCs w:val="24"/>
          <w:lang w:eastAsia="zh-CN"/>
        </w:rPr>
        <w:t>南通利奥化工科技有限公司位于洋口化工聚集区内，周围均为工业用地，项目北侧隔黄海二路为南通远东生物化工有限公司，东侧隔景观河和洋口三路为规划工业用地，南侧为南通建明化工有限公司，西侧为泽尔化工（南通）有限公司。</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sz w:val="24"/>
          <w:szCs w:val="24"/>
          <w:lang w:val="en-US" w:eastAsia="zh-CN"/>
        </w:rPr>
        <w:t>2）敏感目标分布</w:t>
      </w:r>
    </w:p>
    <w:p>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通过Google地球软件搜索场地周边1KM 范围，通过查询，场地周边 1KM范围内以企业为主，主要受影响是</w:t>
      </w:r>
      <w:r>
        <w:rPr>
          <w:rFonts w:hint="default" w:ascii="Times New Roman" w:hAnsi="Times New Roman" w:eastAsia="宋体" w:cs="Times New Roman"/>
          <w:sz w:val="24"/>
          <w:szCs w:val="24"/>
          <w:vertAlign w:val="baseline"/>
          <w:lang w:val="en-US" w:eastAsia="zh-CN"/>
        </w:rPr>
        <w:t>匡河</w:t>
      </w:r>
      <w:r>
        <w:rPr>
          <w:rFonts w:hint="default" w:ascii="Times New Roman" w:hAnsi="Times New Roman" w:eastAsia="宋体" w:cs="Times New Roman"/>
          <w:sz w:val="24"/>
          <w:szCs w:val="24"/>
          <w:lang w:val="en-US" w:eastAsia="zh-CN"/>
        </w:rPr>
        <w:t>。主要环境保护目标见表</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-1，敏感目标与场地位置关系见图</w:t>
      </w:r>
      <w:r>
        <w:rPr>
          <w:rFonts w:hint="eastAsia" w:ascii="Times New Roman" w:hAnsi="Times New Roman" w:eastAsia="宋体" w:cs="Times New Roman"/>
          <w:sz w:val="24"/>
          <w:szCs w:val="24"/>
          <w:lang w:val="en-US" w:eastAsia="zh-CN"/>
        </w:rPr>
        <w:t>3.2</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w:t>
      </w:r>
    </w:p>
    <w:p>
      <w:pPr>
        <w:keepNext w:val="0"/>
        <w:keepLines w:val="0"/>
        <w:widowControl/>
        <w:suppressLineNumbers w:val="0"/>
        <w:jc w:val="center"/>
        <w:rPr>
          <w:rFonts w:ascii="Times New Roman" w:hAnsi="Times New Roman" w:eastAsia="宋体"/>
        </w:rPr>
      </w:pPr>
      <w:r>
        <w:rPr>
          <w:rFonts w:hint="eastAsia" w:ascii="Times New Roman" w:hAnsi="Times New Roman" w:eastAsia="宋体" w:cs="宋体"/>
          <w:b/>
          <w:color w:val="000000"/>
          <w:kern w:val="0"/>
          <w:sz w:val="24"/>
          <w:szCs w:val="24"/>
          <w:lang w:val="en-US" w:eastAsia="zh-CN" w:bidi="ar"/>
        </w:rPr>
        <w:t>表 3.2-1 环境保护目标一览表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385"/>
        <w:gridCol w:w="1260"/>
        <w:gridCol w:w="2010"/>
        <w:gridCol w:w="1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序号</w:t>
            </w:r>
          </w:p>
        </w:tc>
        <w:tc>
          <w:tcPr>
            <w:tcW w:w="2385"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具体敏感目标</w:t>
            </w:r>
          </w:p>
        </w:tc>
        <w:tc>
          <w:tcPr>
            <w:tcW w:w="1260"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方位</w:t>
            </w:r>
          </w:p>
        </w:tc>
        <w:tc>
          <w:tcPr>
            <w:tcW w:w="2010"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最近距离（米）</w:t>
            </w:r>
          </w:p>
        </w:tc>
        <w:tc>
          <w:tcPr>
            <w:tcW w:w="1590"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1</w:t>
            </w:r>
          </w:p>
        </w:tc>
        <w:tc>
          <w:tcPr>
            <w:tcW w:w="2385"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匡河</w:t>
            </w:r>
          </w:p>
        </w:tc>
        <w:tc>
          <w:tcPr>
            <w:tcW w:w="1260"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w:t>
            </w:r>
          </w:p>
        </w:tc>
        <w:tc>
          <w:tcPr>
            <w:tcW w:w="2010"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422</w:t>
            </w:r>
          </w:p>
        </w:tc>
        <w:tc>
          <w:tcPr>
            <w:tcW w:w="1590" w:type="dxa"/>
            <w:tcBorders>
              <w:tl2br w:val="nil"/>
              <w:tr2bl w:val="nil"/>
            </w:tcBorders>
          </w:tcPr>
          <w:p>
            <w:pPr>
              <w:spacing w:line="360" w:lineRule="auto"/>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地表水</w:t>
            </w:r>
          </w:p>
        </w:tc>
      </w:tr>
    </w:tbl>
    <w:p>
      <w:pPr>
        <w:spacing w:line="360" w:lineRule="auto"/>
        <w:ind w:firstLine="480" w:firstLineChars="200"/>
        <w:rPr>
          <w:rFonts w:hint="default" w:ascii="Times New Roman" w:hAnsi="Times New Roman" w:eastAsia="宋体" w:cs="Times New Roman"/>
          <w:sz w:val="24"/>
          <w:szCs w:val="24"/>
          <w:lang w:val="en-US" w:eastAsia="zh-CN"/>
        </w:rPr>
      </w:pPr>
    </w:p>
    <w:p>
      <w:pPr>
        <w:spacing w:line="360" w:lineRule="auto"/>
        <w:jc w:val="both"/>
        <w:rPr>
          <w:rFonts w:hint="eastAsia" w:ascii="Times New Roman" w:hAnsi="Times New Roman" w:eastAsia="宋体" w:cs="Times New Roman"/>
          <w:b/>
          <w:sz w:val="24"/>
          <w:szCs w:val="24"/>
        </w:rPr>
      </w:pPr>
      <w:r>
        <w:rPr>
          <w:rFonts w:ascii="Times New Roman" w:hAnsi="Times New Roman" w:eastAsia="宋体"/>
          <w:sz w:val="21"/>
        </w:rPr>
        <w:pict>
          <v:shape id="_x0000_s1245" o:spid="_x0000_s1245" o:spt="202" type="#_x0000_t202" style="position:absolute;left:0pt;margin-left:255.5pt;margin-top:160.7pt;height:26.25pt;width:60.75pt;z-index:251663360;mso-width-relative:page;mso-height-relative:page;" filled="f" stroked="f" coordsize="21600,21600">
            <v:path/>
            <v:fill on="f" focussize="0,0"/>
            <v:stroke on="f"/>
            <v:imagedata o:title=""/>
            <o:lock v:ext="edit" aspectratio="f"/>
            <v:textbox>
              <w:txbxContent>
                <w:p>
                  <w:pPr>
                    <w:rPr>
                      <w:rFonts w:hint="default" w:eastAsiaTheme="minorEastAsia"/>
                      <w:color w:val="BEBEBE" w:themeColor="background1" w:themeShade="BF"/>
                      <w:lang w:val="en-US" w:eastAsia="zh-CN"/>
                    </w:rPr>
                  </w:pPr>
                  <w:r>
                    <w:rPr>
                      <w:rFonts w:hint="eastAsia"/>
                      <w:color w:val="BEBEBE" w:themeColor="background1" w:themeShade="BF"/>
                      <w:lang w:val="en-US" w:eastAsia="zh-CN"/>
                    </w:rPr>
                    <w:t>r=500米</w:t>
                  </w:r>
                </w:p>
              </w:txbxContent>
            </v:textbox>
          </v:shape>
        </w:pict>
      </w:r>
      <w:r>
        <w:rPr>
          <w:rFonts w:ascii="Times New Roman" w:hAnsi="Times New Roman" w:eastAsia="宋体"/>
        </w:rPr>
        <w:drawing>
          <wp:inline distT="0" distB="0" distL="114300" distR="114300">
            <wp:extent cx="5269865" cy="4790440"/>
            <wp:effectExtent l="0" t="0" r="6985"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69865" cy="4790440"/>
                    </a:xfrm>
                    <a:prstGeom prst="rect">
                      <a:avLst/>
                    </a:prstGeom>
                    <a:noFill/>
                    <a:ln>
                      <a:noFill/>
                    </a:ln>
                  </pic:spPr>
                </pic:pic>
              </a:graphicData>
            </a:graphic>
          </wp:inline>
        </w:drawing>
      </w:r>
    </w:p>
    <w:p>
      <w:pPr>
        <w:spacing w:line="360" w:lineRule="auto"/>
        <w:ind w:firstLine="482" w:firstLineChars="200"/>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3.2</w:t>
      </w:r>
      <w:r>
        <w:rPr>
          <w:rFonts w:hint="eastAsia" w:ascii="Times New Roman" w:hAnsi="Times New Roman" w:eastAsia="宋体" w:cs="Times New Roman"/>
          <w:b/>
          <w:sz w:val="24"/>
          <w:szCs w:val="24"/>
        </w:rPr>
        <w:t>-</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 xml:space="preserve"> 周边</w:t>
      </w:r>
      <w:r>
        <w:rPr>
          <w:rFonts w:ascii="Times New Roman" w:hAnsi="Times New Roman" w:eastAsia="宋体" w:cs="Times New Roman"/>
          <w:b/>
          <w:sz w:val="24"/>
          <w:szCs w:val="24"/>
        </w:rPr>
        <w:t>敏感目标分布图</w:t>
      </w:r>
    </w:p>
    <w:p>
      <w:pPr>
        <w:spacing w:line="360" w:lineRule="auto"/>
        <w:jc w:val="both"/>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4"/>
        <w:keepNext/>
        <w:keepLines/>
        <w:pageBreakBefore w:val="0"/>
        <w:widowControl w:val="0"/>
        <w:kinsoku/>
        <w:wordWrap/>
        <w:overflowPunct/>
        <w:topLinePunct w:val="0"/>
        <w:autoSpaceDE/>
        <w:autoSpaceDN/>
        <w:bidi w:val="0"/>
        <w:adjustRightInd/>
        <w:snapToGrid/>
        <w:spacing w:before="0" w:after="20" w:line="360" w:lineRule="auto"/>
        <w:textAlignment w:val="auto"/>
        <w:outlineLvl w:val="0"/>
        <w:rPr>
          <w:rFonts w:hint="eastAsia" w:ascii="Times New Roman" w:hAnsi="Times New Roman" w:eastAsia="宋体" w:cs="Times New Roman"/>
          <w:sz w:val="28"/>
          <w:szCs w:val="28"/>
          <w:lang w:val="en-US" w:eastAsia="zh-CN"/>
        </w:rPr>
      </w:pPr>
      <w:bookmarkStart w:id="20" w:name="_Toc10678"/>
      <w:r>
        <w:rPr>
          <w:rFonts w:hint="eastAsia" w:ascii="Times New Roman" w:hAnsi="Times New Roman" w:eastAsia="宋体" w:cs="Times New Roman"/>
          <w:sz w:val="28"/>
          <w:szCs w:val="28"/>
          <w:lang w:val="en-US" w:eastAsia="zh-CN"/>
        </w:rPr>
        <w:t>4企业生产及污染防治情况</w:t>
      </w:r>
      <w:bookmarkEnd w:id="20"/>
    </w:p>
    <w:p>
      <w:pPr>
        <w:pStyle w:val="2"/>
        <w:outlineLvl w:val="1"/>
        <w:rPr>
          <w:rFonts w:hint="eastAsia" w:ascii="Times New Roman" w:hAnsi="Times New Roman" w:eastAsia="宋体" w:cs="Times New Roman"/>
          <w:sz w:val="24"/>
          <w:szCs w:val="24"/>
          <w:lang w:val="en-US" w:eastAsia="zh-CN"/>
        </w:rPr>
      </w:pPr>
      <w:bookmarkStart w:id="21" w:name="_Toc16239"/>
      <w:r>
        <w:rPr>
          <w:rFonts w:hint="eastAsia" w:ascii="Times New Roman" w:hAnsi="Times New Roman" w:eastAsia="宋体" w:cs="Times New Roman"/>
          <w:sz w:val="28"/>
          <w:szCs w:val="28"/>
          <w:lang w:val="en-US" w:eastAsia="zh-CN"/>
        </w:rPr>
        <w:t>4.1企业市场概况</w:t>
      </w:r>
      <w:bookmarkEnd w:id="21"/>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2" w:firstLineChars="200"/>
        <w:textAlignment w:val="auto"/>
        <w:outlineLvl w:val="9"/>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产品方案：</w:t>
      </w:r>
    </w:p>
    <w:p>
      <w:pPr>
        <w:pStyle w:val="2"/>
        <w:numPr>
          <w:ilvl w:val="0"/>
          <w:numId w:val="0"/>
        </w:numPr>
        <w:jc w:val="center"/>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表4.1-1  主体工程及产品方案</w:t>
      </w:r>
    </w:p>
    <w:tbl>
      <w:tblPr>
        <w:tblStyle w:val="20"/>
        <w:tblW w:w="451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18"/>
        <w:gridCol w:w="1912"/>
        <w:gridCol w:w="1273"/>
        <w:gridCol w:w="1530"/>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noWrap w:val="0"/>
            <w:vAlign w:val="center"/>
          </w:tcPr>
          <w:p>
            <w:pPr>
              <w:adjustRightInd w:val="0"/>
              <w:snapToGrid w:val="0"/>
              <w:jc w:val="center"/>
              <w:rPr>
                <w:rFonts w:ascii="Times New Roman" w:hAnsi="Times New Roman" w:eastAsia="宋体"/>
              </w:rPr>
            </w:pPr>
            <w:r>
              <w:rPr>
                <w:rFonts w:ascii="Times New Roman" w:hAnsi="Times New Roman" w:eastAsia="宋体"/>
              </w:rPr>
              <w:t>序号</w:t>
            </w:r>
          </w:p>
        </w:tc>
        <w:tc>
          <w:tcPr>
            <w:tcW w:w="1274" w:type="pct"/>
            <w:noWrap w:val="0"/>
            <w:vAlign w:val="center"/>
          </w:tcPr>
          <w:p>
            <w:pPr>
              <w:adjustRightInd w:val="0"/>
              <w:snapToGrid w:val="0"/>
              <w:jc w:val="center"/>
              <w:rPr>
                <w:rFonts w:ascii="Times New Roman" w:hAnsi="Times New Roman" w:eastAsia="宋体"/>
              </w:rPr>
            </w:pPr>
            <w:r>
              <w:rPr>
                <w:rFonts w:ascii="Times New Roman" w:hAnsi="Times New Roman" w:eastAsia="宋体"/>
              </w:rPr>
              <w:t>产品名称</w:t>
            </w:r>
          </w:p>
        </w:tc>
        <w:tc>
          <w:tcPr>
            <w:tcW w:w="848" w:type="pct"/>
            <w:noWrap w:val="0"/>
            <w:vAlign w:val="center"/>
          </w:tcPr>
          <w:p>
            <w:pPr>
              <w:adjustRightInd w:val="0"/>
              <w:snapToGrid w:val="0"/>
              <w:jc w:val="center"/>
              <w:rPr>
                <w:rFonts w:ascii="Times New Roman" w:hAnsi="Times New Roman" w:eastAsia="宋体"/>
              </w:rPr>
            </w:pPr>
            <w:r>
              <w:rPr>
                <w:rFonts w:ascii="Times New Roman" w:hAnsi="Times New Roman" w:eastAsia="宋体"/>
              </w:rPr>
              <w:t>规格（%）</w:t>
            </w:r>
          </w:p>
        </w:tc>
        <w:tc>
          <w:tcPr>
            <w:tcW w:w="1019" w:type="pct"/>
            <w:noWrap w:val="0"/>
            <w:vAlign w:val="center"/>
          </w:tcPr>
          <w:p>
            <w:pPr>
              <w:adjustRightInd w:val="0"/>
              <w:snapToGrid w:val="0"/>
              <w:jc w:val="center"/>
              <w:rPr>
                <w:rFonts w:ascii="Times New Roman" w:hAnsi="Times New Roman" w:eastAsia="宋体"/>
              </w:rPr>
            </w:pPr>
            <w:r>
              <w:rPr>
                <w:rFonts w:ascii="Times New Roman" w:hAnsi="Times New Roman" w:eastAsia="宋体"/>
              </w:rPr>
              <w:t>设计能力(t/a)</w:t>
            </w:r>
          </w:p>
        </w:tc>
        <w:tc>
          <w:tcPr>
            <w:tcW w:w="1245" w:type="pct"/>
            <w:noWrap w:val="0"/>
            <w:vAlign w:val="center"/>
          </w:tcPr>
          <w:p>
            <w:pPr>
              <w:adjustRightInd w:val="0"/>
              <w:snapToGrid w:val="0"/>
              <w:jc w:val="center"/>
              <w:rPr>
                <w:rFonts w:ascii="Times New Roman" w:hAnsi="Times New Roman" w:eastAsia="宋体"/>
              </w:rPr>
            </w:pPr>
            <w:r>
              <w:rPr>
                <w:rFonts w:ascii="Times New Roman" w:hAnsi="Times New Roman" w:eastAsia="宋体"/>
              </w:rPr>
              <w:t>年运行天数（d）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1</w:t>
            </w:r>
          </w:p>
        </w:tc>
        <w:tc>
          <w:tcPr>
            <w:tcW w:w="1274" w:type="pct"/>
            <w:shd w:val="clear" w:color="auto" w:fill="auto"/>
            <w:noWrap w:val="0"/>
            <w:vAlign w:val="center"/>
          </w:tcPr>
          <w:p>
            <w:pPr>
              <w:snapToGrid w:val="0"/>
              <w:jc w:val="center"/>
              <w:rPr>
                <w:rFonts w:ascii="Times New Roman" w:hAnsi="Times New Roman" w:eastAsia="宋体"/>
                <w:szCs w:val="21"/>
              </w:rPr>
            </w:pPr>
            <w:r>
              <w:rPr>
                <w:rFonts w:ascii="Times New Roman" w:hAnsi="Times New Roman" w:eastAsia="宋体"/>
                <w:kern w:val="0"/>
                <w:szCs w:val="21"/>
              </w:rPr>
              <w:t>二氯频哪酮</w:t>
            </w:r>
          </w:p>
        </w:tc>
        <w:tc>
          <w:tcPr>
            <w:tcW w:w="848" w:type="pct"/>
            <w:shd w:val="clear" w:color="auto" w:fill="auto"/>
            <w:noWrap w:val="0"/>
            <w:vAlign w:val="center"/>
          </w:tcPr>
          <w:p>
            <w:pPr>
              <w:snapToGrid w:val="0"/>
              <w:jc w:val="center"/>
              <w:rPr>
                <w:rFonts w:ascii="Times New Roman" w:hAnsi="Times New Roman" w:eastAsia="宋体"/>
                <w:szCs w:val="21"/>
              </w:rPr>
            </w:pPr>
            <w:r>
              <w:rPr>
                <w:rFonts w:ascii="Times New Roman" w:hAnsi="Times New Roman" w:eastAsia="宋体"/>
                <w:szCs w:val="21"/>
              </w:rPr>
              <w:t>≥95</w:t>
            </w:r>
          </w:p>
        </w:tc>
        <w:tc>
          <w:tcPr>
            <w:tcW w:w="1019" w:type="pct"/>
            <w:shd w:val="clear" w:color="auto" w:fill="auto"/>
            <w:noWrap w:val="0"/>
            <w:vAlign w:val="center"/>
          </w:tcPr>
          <w:p>
            <w:pPr>
              <w:snapToGrid w:val="0"/>
              <w:jc w:val="center"/>
              <w:rPr>
                <w:rFonts w:ascii="Times New Roman" w:hAnsi="Times New Roman" w:eastAsia="宋体"/>
                <w:szCs w:val="21"/>
              </w:rPr>
            </w:pPr>
            <w:r>
              <w:rPr>
                <w:rFonts w:ascii="Times New Roman" w:hAnsi="Times New Roman" w:eastAsia="宋体"/>
                <w:szCs w:val="21"/>
              </w:rPr>
              <w:t>1500</w:t>
            </w:r>
          </w:p>
        </w:tc>
        <w:tc>
          <w:tcPr>
            <w:tcW w:w="1245" w:type="pct"/>
            <w:shd w:val="clear" w:color="auto" w:fill="auto"/>
            <w:noWrap w:val="0"/>
            <w:vAlign w:val="center"/>
          </w:tcPr>
          <w:p>
            <w:pPr>
              <w:adjustRightInd w:val="0"/>
              <w:snapToGrid w:val="0"/>
              <w:jc w:val="center"/>
              <w:rPr>
                <w:rFonts w:hint="eastAsia" w:ascii="Times New Roman" w:hAnsi="Times New Roman" w:eastAsia="宋体"/>
              </w:rPr>
            </w:pPr>
            <w:r>
              <w:rPr>
                <w:rFonts w:hint="eastAsia" w:ascii="Times New Roman" w:hAnsi="Times New Roman" w:eastAsia="宋体"/>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2</w:t>
            </w:r>
          </w:p>
        </w:tc>
        <w:tc>
          <w:tcPr>
            <w:tcW w:w="1274" w:type="pct"/>
            <w:shd w:val="clear" w:color="auto" w:fill="auto"/>
            <w:noWrap w:val="0"/>
            <w:vAlign w:val="center"/>
          </w:tcPr>
          <w:p>
            <w:pPr>
              <w:spacing w:line="260" w:lineRule="exact"/>
              <w:jc w:val="center"/>
              <w:rPr>
                <w:rFonts w:ascii="Times New Roman" w:hAnsi="Times New Roman" w:eastAsia="宋体"/>
                <w:szCs w:val="21"/>
              </w:rPr>
            </w:pPr>
            <w:r>
              <w:rPr>
                <w:rFonts w:ascii="Times New Roman" w:hAnsi="Times New Roman" w:eastAsia="宋体"/>
                <w:szCs w:val="21"/>
              </w:rPr>
              <w:t>一氯苄</w:t>
            </w:r>
          </w:p>
        </w:tc>
        <w:tc>
          <w:tcPr>
            <w:tcW w:w="848" w:type="pct"/>
            <w:shd w:val="clear" w:color="auto" w:fill="auto"/>
            <w:noWrap w:val="0"/>
            <w:vAlign w:val="center"/>
          </w:tcPr>
          <w:p>
            <w:pPr>
              <w:pStyle w:val="47"/>
              <w:ind w:firstLine="0" w:firstLineChars="0"/>
              <w:jc w:val="center"/>
              <w:rPr>
                <w:rFonts w:ascii="Times New Roman" w:hAnsi="Times New Roman" w:eastAsia="宋体"/>
                <w:sz w:val="21"/>
                <w:szCs w:val="21"/>
              </w:rPr>
            </w:pPr>
            <w:r>
              <w:rPr>
                <w:rFonts w:ascii="Times New Roman" w:hAnsi="Times New Roman" w:eastAsia="宋体"/>
                <w:sz w:val="21"/>
                <w:szCs w:val="21"/>
              </w:rPr>
              <w:t>≥98.5</w:t>
            </w:r>
          </w:p>
        </w:tc>
        <w:tc>
          <w:tcPr>
            <w:tcW w:w="1019" w:type="pct"/>
            <w:shd w:val="clear" w:color="auto" w:fill="auto"/>
            <w:noWrap w:val="0"/>
            <w:vAlign w:val="center"/>
          </w:tcPr>
          <w:p>
            <w:pPr>
              <w:autoSpaceDE w:val="0"/>
              <w:autoSpaceDN w:val="0"/>
              <w:adjustRightInd w:val="0"/>
              <w:jc w:val="center"/>
              <w:rPr>
                <w:rFonts w:ascii="Times New Roman" w:hAnsi="Times New Roman" w:eastAsia="宋体"/>
                <w:kern w:val="0"/>
                <w:szCs w:val="21"/>
              </w:rPr>
            </w:pPr>
            <w:r>
              <w:rPr>
                <w:rFonts w:ascii="Times New Roman" w:hAnsi="Times New Roman" w:eastAsia="宋体"/>
                <w:kern w:val="0"/>
                <w:szCs w:val="21"/>
              </w:rPr>
              <w:t>786</w:t>
            </w:r>
          </w:p>
        </w:tc>
        <w:tc>
          <w:tcPr>
            <w:tcW w:w="1245" w:type="pct"/>
            <w:shd w:val="clear" w:color="auto" w:fill="auto"/>
            <w:noWrap w:val="0"/>
            <w:vAlign w:val="center"/>
          </w:tcPr>
          <w:p>
            <w:pPr>
              <w:adjustRightInd w:val="0"/>
              <w:snapToGrid w:val="0"/>
              <w:jc w:val="center"/>
              <w:rPr>
                <w:rFonts w:hint="eastAsia" w:ascii="Times New Roman" w:hAnsi="Times New Roman" w:eastAsia="宋体"/>
              </w:rPr>
            </w:pPr>
            <w:r>
              <w:rPr>
                <w:rFonts w:hint="eastAsia" w:ascii="Times New Roman" w:hAnsi="Times New Roman" w:eastAsia="宋体"/>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3</w:t>
            </w:r>
          </w:p>
        </w:tc>
        <w:tc>
          <w:tcPr>
            <w:tcW w:w="1274" w:type="pct"/>
            <w:shd w:val="clear" w:color="auto" w:fill="auto"/>
            <w:noWrap w:val="0"/>
            <w:vAlign w:val="center"/>
          </w:tcPr>
          <w:p>
            <w:pPr>
              <w:spacing w:line="260" w:lineRule="exact"/>
              <w:jc w:val="center"/>
              <w:rPr>
                <w:rFonts w:ascii="Times New Roman" w:hAnsi="Times New Roman" w:eastAsia="宋体"/>
                <w:szCs w:val="21"/>
              </w:rPr>
            </w:pPr>
            <w:r>
              <w:rPr>
                <w:rFonts w:ascii="Times New Roman" w:hAnsi="Times New Roman" w:eastAsia="宋体"/>
                <w:szCs w:val="21"/>
              </w:rPr>
              <w:t>三氯苄</w:t>
            </w:r>
          </w:p>
        </w:tc>
        <w:tc>
          <w:tcPr>
            <w:tcW w:w="848" w:type="pct"/>
            <w:shd w:val="clear" w:color="auto" w:fill="auto"/>
            <w:noWrap w:val="0"/>
            <w:vAlign w:val="center"/>
          </w:tcPr>
          <w:p>
            <w:pPr>
              <w:pStyle w:val="47"/>
              <w:ind w:firstLine="0" w:firstLineChars="0"/>
              <w:jc w:val="center"/>
              <w:rPr>
                <w:rFonts w:ascii="Times New Roman" w:hAnsi="Times New Roman" w:eastAsia="宋体"/>
                <w:sz w:val="21"/>
                <w:szCs w:val="21"/>
              </w:rPr>
            </w:pPr>
            <w:r>
              <w:rPr>
                <w:rFonts w:ascii="Times New Roman" w:hAnsi="Times New Roman" w:eastAsia="宋体"/>
                <w:sz w:val="21"/>
                <w:szCs w:val="21"/>
              </w:rPr>
              <w:t>≥99</w:t>
            </w:r>
          </w:p>
        </w:tc>
        <w:tc>
          <w:tcPr>
            <w:tcW w:w="1019" w:type="pct"/>
            <w:shd w:val="clear" w:color="auto" w:fill="auto"/>
            <w:noWrap w:val="0"/>
            <w:vAlign w:val="center"/>
          </w:tcPr>
          <w:p>
            <w:pPr>
              <w:autoSpaceDE w:val="0"/>
              <w:autoSpaceDN w:val="0"/>
              <w:adjustRightInd w:val="0"/>
              <w:jc w:val="center"/>
              <w:rPr>
                <w:rFonts w:ascii="Times New Roman" w:hAnsi="Times New Roman" w:eastAsia="宋体"/>
                <w:kern w:val="0"/>
                <w:szCs w:val="21"/>
              </w:rPr>
            </w:pPr>
            <w:r>
              <w:rPr>
                <w:rFonts w:ascii="Times New Roman" w:hAnsi="Times New Roman" w:eastAsia="宋体"/>
                <w:kern w:val="0"/>
                <w:szCs w:val="21"/>
              </w:rPr>
              <w:t>382</w:t>
            </w:r>
          </w:p>
        </w:tc>
        <w:tc>
          <w:tcPr>
            <w:tcW w:w="1245" w:type="pct"/>
            <w:shd w:val="clear" w:color="auto" w:fill="auto"/>
            <w:noWrap w:val="0"/>
            <w:vAlign w:val="center"/>
          </w:tcPr>
          <w:p>
            <w:pPr>
              <w:adjustRightInd w:val="0"/>
              <w:snapToGrid w:val="0"/>
              <w:jc w:val="center"/>
              <w:rPr>
                <w:rFonts w:hint="eastAsia" w:ascii="Times New Roman" w:hAnsi="Times New Roman" w:eastAsia="宋体"/>
              </w:rPr>
            </w:pPr>
            <w:r>
              <w:rPr>
                <w:rFonts w:hint="eastAsia" w:ascii="Times New Roman" w:hAnsi="Times New Roman" w:eastAsia="宋体"/>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4</w:t>
            </w:r>
          </w:p>
        </w:tc>
        <w:tc>
          <w:tcPr>
            <w:tcW w:w="1274" w:type="pct"/>
            <w:shd w:val="clear" w:color="auto" w:fill="auto"/>
            <w:noWrap w:val="0"/>
            <w:vAlign w:val="center"/>
          </w:tcPr>
          <w:p>
            <w:pPr>
              <w:spacing w:line="260" w:lineRule="exact"/>
              <w:jc w:val="center"/>
              <w:rPr>
                <w:rFonts w:ascii="Times New Roman" w:hAnsi="Times New Roman" w:eastAsia="宋体"/>
                <w:szCs w:val="21"/>
              </w:rPr>
            </w:pPr>
            <w:r>
              <w:rPr>
                <w:rFonts w:ascii="Times New Roman" w:hAnsi="Times New Roman" w:eastAsia="宋体"/>
                <w:szCs w:val="21"/>
              </w:rPr>
              <w:t>苯甲醛</w:t>
            </w:r>
          </w:p>
        </w:tc>
        <w:tc>
          <w:tcPr>
            <w:tcW w:w="848" w:type="pct"/>
            <w:shd w:val="clear" w:color="auto" w:fill="auto"/>
            <w:noWrap w:val="0"/>
            <w:vAlign w:val="center"/>
          </w:tcPr>
          <w:p>
            <w:pPr>
              <w:pStyle w:val="47"/>
              <w:ind w:firstLine="0" w:firstLineChars="0"/>
              <w:jc w:val="center"/>
              <w:rPr>
                <w:rFonts w:ascii="Times New Roman" w:hAnsi="Times New Roman" w:eastAsia="宋体"/>
                <w:sz w:val="21"/>
                <w:szCs w:val="21"/>
              </w:rPr>
            </w:pPr>
            <w:r>
              <w:rPr>
                <w:rFonts w:ascii="Times New Roman" w:hAnsi="Times New Roman" w:eastAsia="宋体"/>
                <w:sz w:val="21"/>
                <w:szCs w:val="21"/>
              </w:rPr>
              <w:t>≥99</w:t>
            </w:r>
          </w:p>
        </w:tc>
        <w:tc>
          <w:tcPr>
            <w:tcW w:w="1019" w:type="pct"/>
            <w:shd w:val="clear" w:color="auto" w:fill="auto"/>
            <w:noWrap w:val="0"/>
            <w:vAlign w:val="center"/>
          </w:tcPr>
          <w:p>
            <w:pPr>
              <w:autoSpaceDE w:val="0"/>
              <w:autoSpaceDN w:val="0"/>
              <w:adjustRightInd w:val="0"/>
              <w:jc w:val="center"/>
              <w:rPr>
                <w:rFonts w:ascii="Times New Roman" w:hAnsi="Times New Roman" w:eastAsia="宋体"/>
                <w:kern w:val="0"/>
                <w:szCs w:val="21"/>
              </w:rPr>
            </w:pPr>
            <w:r>
              <w:rPr>
                <w:rFonts w:ascii="Times New Roman" w:hAnsi="Times New Roman" w:eastAsia="宋体"/>
                <w:kern w:val="0"/>
                <w:szCs w:val="21"/>
              </w:rPr>
              <w:t>636</w:t>
            </w:r>
          </w:p>
        </w:tc>
        <w:tc>
          <w:tcPr>
            <w:tcW w:w="1245" w:type="pct"/>
            <w:shd w:val="clear" w:color="auto" w:fill="auto"/>
            <w:noWrap w:val="0"/>
            <w:vAlign w:val="center"/>
          </w:tcPr>
          <w:p>
            <w:pPr>
              <w:adjustRightInd w:val="0"/>
              <w:snapToGrid w:val="0"/>
              <w:jc w:val="center"/>
              <w:rPr>
                <w:rFonts w:hint="eastAsia" w:ascii="Times New Roman" w:hAnsi="Times New Roman" w:eastAsia="宋体"/>
              </w:rPr>
            </w:pPr>
            <w:r>
              <w:rPr>
                <w:rFonts w:hint="eastAsia" w:ascii="Times New Roman" w:hAnsi="Times New Roman" w:eastAsia="宋体"/>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5</w:t>
            </w:r>
          </w:p>
        </w:tc>
        <w:tc>
          <w:tcPr>
            <w:tcW w:w="1274" w:type="pct"/>
            <w:shd w:val="clear" w:color="auto" w:fill="auto"/>
            <w:noWrap w:val="0"/>
            <w:vAlign w:val="center"/>
          </w:tcPr>
          <w:p>
            <w:pPr>
              <w:spacing w:line="260" w:lineRule="exact"/>
              <w:jc w:val="center"/>
              <w:rPr>
                <w:rFonts w:ascii="Times New Roman" w:hAnsi="Times New Roman" w:eastAsia="宋体"/>
                <w:szCs w:val="21"/>
              </w:rPr>
            </w:pPr>
            <w:r>
              <w:rPr>
                <w:rFonts w:ascii="Times New Roman" w:hAnsi="Times New Roman" w:eastAsia="宋体"/>
                <w:szCs w:val="21"/>
              </w:rPr>
              <w:t>苯甲酰氯</w:t>
            </w:r>
          </w:p>
        </w:tc>
        <w:tc>
          <w:tcPr>
            <w:tcW w:w="848" w:type="pct"/>
            <w:shd w:val="clear" w:color="auto" w:fill="auto"/>
            <w:noWrap w:val="0"/>
            <w:vAlign w:val="center"/>
          </w:tcPr>
          <w:p>
            <w:pPr>
              <w:pStyle w:val="47"/>
              <w:ind w:firstLine="0" w:firstLineChars="0"/>
              <w:jc w:val="center"/>
              <w:rPr>
                <w:rFonts w:ascii="Times New Roman" w:hAnsi="Times New Roman" w:eastAsia="宋体"/>
                <w:sz w:val="21"/>
                <w:szCs w:val="21"/>
              </w:rPr>
            </w:pPr>
            <w:r>
              <w:rPr>
                <w:rFonts w:ascii="Times New Roman" w:hAnsi="Times New Roman" w:eastAsia="宋体"/>
                <w:sz w:val="21"/>
                <w:szCs w:val="21"/>
              </w:rPr>
              <w:t>≥99</w:t>
            </w:r>
          </w:p>
        </w:tc>
        <w:tc>
          <w:tcPr>
            <w:tcW w:w="1019" w:type="pct"/>
            <w:shd w:val="clear" w:color="auto" w:fill="auto"/>
            <w:noWrap w:val="0"/>
            <w:vAlign w:val="center"/>
          </w:tcPr>
          <w:p>
            <w:pPr>
              <w:autoSpaceDE w:val="0"/>
              <w:autoSpaceDN w:val="0"/>
              <w:adjustRightInd w:val="0"/>
              <w:jc w:val="center"/>
              <w:rPr>
                <w:rFonts w:hint="eastAsia" w:ascii="Times New Roman" w:hAnsi="Times New Roman" w:eastAsia="宋体"/>
                <w:kern w:val="0"/>
                <w:szCs w:val="21"/>
              </w:rPr>
            </w:pPr>
            <w:r>
              <w:rPr>
                <w:rFonts w:ascii="Times New Roman" w:hAnsi="Times New Roman" w:eastAsia="宋体"/>
                <w:kern w:val="0"/>
                <w:szCs w:val="21"/>
              </w:rPr>
              <w:t>940</w:t>
            </w:r>
          </w:p>
        </w:tc>
        <w:tc>
          <w:tcPr>
            <w:tcW w:w="1245" w:type="pct"/>
            <w:vMerge w:val="restart"/>
            <w:shd w:val="clear" w:color="auto" w:fill="auto"/>
            <w:noWrap w:val="0"/>
            <w:vAlign w:val="center"/>
          </w:tcPr>
          <w:p>
            <w:pPr>
              <w:adjustRightInd w:val="0"/>
              <w:snapToGrid w:val="0"/>
              <w:jc w:val="center"/>
              <w:rPr>
                <w:rFonts w:ascii="Times New Roman" w:hAnsi="Times New Roman" w:eastAsia="宋体"/>
              </w:rPr>
            </w:pPr>
            <w:r>
              <w:rPr>
                <w:rFonts w:hint="eastAsia" w:ascii="Times New Roman" w:hAnsi="Times New Roman" w:eastAsia="宋体"/>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6</w:t>
            </w:r>
          </w:p>
        </w:tc>
        <w:tc>
          <w:tcPr>
            <w:tcW w:w="1274" w:type="pct"/>
            <w:shd w:val="clear" w:color="auto" w:fill="auto"/>
            <w:noWrap w:val="0"/>
            <w:vAlign w:val="center"/>
          </w:tcPr>
          <w:p>
            <w:pPr>
              <w:spacing w:line="300" w:lineRule="exact"/>
              <w:jc w:val="center"/>
              <w:rPr>
                <w:rFonts w:ascii="Times New Roman" w:hAnsi="Times New Roman" w:eastAsia="宋体"/>
                <w:szCs w:val="21"/>
              </w:rPr>
            </w:pPr>
            <w:r>
              <w:rPr>
                <w:rFonts w:ascii="Times New Roman" w:hAnsi="Times New Roman" w:eastAsia="宋体"/>
                <w:kern w:val="0"/>
                <w:szCs w:val="21"/>
              </w:rPr>
              <w:t>盐酸</w:t>
            </w:r>
          </w:p>
        </w:tc>
        <w:tc>
          <w:tcPr>
            <w:tcW w:w="848" w:type="pct"/>
            <w:shd w:val="clear" w:color="auto" w:fill="auto"/>
            <w:noWrap w:val="0"/>
            <w:vAlign w:val="center"/>
          </w:tcPr>
          <w:p>
            <w:pPr>
              <w:snapToGrid w:val="0"/>
              <w:jc w:val="center"/>
              <w:rPr>
                <w:rFonts w:ascii="Times New Roman" w:hAnsi="Times New Roman" w:eastAsia="宋体"/>
                <w:szCs w:val="21"/>
              </w:rPr>
            </w:pPr>
            <w:r>
              <w:rPr>
                <w:rFonts w:ascii="Times New Roman" w:hAnsi="Times New Roman" w:eastAsia="宋体"/>
                <w:szCs w:val="21"/>
              </w:rPr>
              <w:t>31</w:t>
            </w:r>
          </w:p>
        </w:tc>
        <w:tc>
          <w:tcPr>
            <w:tcW w:w="1019"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8331</w:t>
            </w:r>
          </w:p>
        </w:tc>
        <w:tc>
          <w:tcPr>
            <w:tcW w:w="1245" w:type="pct"/>
            <w:vMerge w:val="continue"/>
            <w:shd w:val="clear" w:color="auto" w:fill="auto"/>
            <w:noWrap w:val="0"/>
            <w:vAlign w:val="center"/>
          </w:tcPr>
          <w:p>
            <w:pPr>
              <w:adjustRightInd w:val="0"/>
              <w:snapToGrid w:val="0"/>
              <w:jc w:val="center"/>
              <w:rPr>
                <w:rFonts w:ascii="Times New Roman" w:hAnsi="Times New Roman" w:eastAsia="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7</w:t>
            </w:r>
          </w:p>
        </w:tc>
        <w:tc>
          <w:tcPr>
            <w:tcW w:w="1274" w:type="pct"/>
            <w:shd w:val="clear" w:color="auto" w:fill="auto"/>
            <w:noWrap w:val="0"/>
            <w:vAlign w:val="center"/>
          </w:tcPr>
          <w:p>
            <w:pPr>
              <w:spacing w:line="300" w:lineRule="exact"/>
              <w:jc w:val="center"/>
              <w:rPr>
                <w:rFonts w:ascii="Times New Roman" w:hAnsi="Times New Roman" w:eastAsia="宋体"/>
                <w:szCs w:val="21"/>
              </w:rPr>
            </w:pPr>
            <w:r>
              <w:rPr>
                <w:rFonts w:ascii="Times New Roman" w:hAnsi="Times New Roman" w:eastAsia="宋体"/>
                <w:szCs w:val="21"/>
              </w:rPr>
              <w:t>3,5-二氯苯甲酰氯</w:t>
            </w:r>
          </w:p>
        </w:tc>
        <w:tc>
          <w:tcPr>
            <w:tcW w:w="848" w:type="pct"/>
            <w:shd w:val="clear" w:color="auto" w:fill="auto"/>
            <w:noWrap w:val="0"/>
            <w:vAlign w:val="center"/>
          </w:tcPr>
          <w:p>
            <w:pPr>
              <w:snapToGrid w:val="0"/>
              <w:jc w:val="center"/>
              <w:rPr>
                <w:rFonts w:ascii="Times New Roman" w:hAnsi="Times New Roman" w:eastAsia="宋体"/>
                <w:szCs w:val="21"/>
              </w:rPr>
            </w:pPr>
            <w:r>
              <w:rPr>
                <w:rFonts w:ascii="Times New Roman" w:hAnsi="Times New Roman" w:eastAsia="宋体"/>
                <w:szCs w:val="21"/>
              </w:rPr>
              <w:t>99</w:t>
            </w:r>
          </w:p>
        </w:tc>
        <w:tc>
          <w:tcPr>
            <w:tcW w:w="1019"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600</w:t>
            </w:r>
          </w:p>
        </w:tc>
        <w:tc>
          <w:tcPr>
            <w:tcW w:w="1245" w:type="pct"/>
            <w:vMerge w:val="continue"/>
            <w:shd w:val="clear" w:color="auto" w:fill="auto"/>
            <w:noWrap w:val="0"/>
            <w:vAlign w:val="center"/>
          </w:tcPr>
          <w:p>
            <w:pPr>
              <w:adjustRightInd w:val="0"/>
              <w:snapToGrid w:val="0"/>
              <w:jc w:val="center"/>
              <w:rPr>
                <w:rFonts w:ascii="Times New Roman" w:hAnsi="Times New Roman" w:eastAsia="宋体"/>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12" w:type="pct"/>
            <w:shd w:val="clear" w:color="auto" w:fill="auto"/>
            <w:noWrap w:val="0"/>
            <w:vAlign w:val="center"/>
          </w:tcPr>
          <w:p>
            <w:pPr>
              <w:adjustRightInd w:val="0"/>
              <w:snapToGrid w:val="0"/>
              <w:jc w:val="center"/>
              <w:rPr>
                <w:rFonts w:ascii="Times New Roman" w:hAnsi="Times New Roman" w:eastAsia="宋体"/>
              </w:rPr>
            </w:pPr>
            <w:r>
              <w:rPr>
                <w:rFonts w:ascii="Times New Roman" w:hAnsi="Times New Roman" w:eastAsia="宋体"/>
              </w:rPr>
              <w:t>8</w:t>
            </w:r>
          </w:p>
        </w:tc>
        <w:tc>
          <w:tcPr>
            <w:tcW w:w="1274" w:type="pct"/>
            <w:shd w:val="clear" w:color="auto" w:fill="auto"/>
            <w:noWrap w:val="0"/>
            <w:vAlign w:val="center"/>
          </w:tcPr>
          <w:p>
            <w:pPr>
              <w:spacing w:line="300" w:lineRule="exact"/>
              <w:jc w:val="center"/>
              <w:rPr>
                <w:rFonts w:ascii="Times New Roman" w:hAnsi="Times New Roman" w:eastAsia="宋体"/>
                <w:szCs w:val="21"/>
              </w:rPr>
            </w:pPr>
            <w:r>
              <w:rPr>
                <w:rFonts w:ascii="Times New Roman" w:hAnsi="Times New Roman" w:eastAsia="宋体"/>
                <w:szCs w:val="21"/>
              </w:rPr>
              <w:t>1,3,5-三氯苯</w:t>
            </w:r>
          </w:p>
        </w:tc>
        <w:tc>
          <w:tcPr>
            <w:tcW w:w="848" w:type="pct"/>
            <w:shd w:val="clear" w:color="auto" w:fill="auto"/>
            <w:noWrap w:val="0"/>
            <w:vAlign w:val="center"/>
          </w:tcPr>
          <w:p>
            <w:pPr>
              <w:snapToGrid w:val="0"/>
              <w:jc w:val="center"/>
              <w:rPr>
                <w:rFonts w:ascii="Times New Roman" w:hAnsi="Times New Roman" w:eastAsia="宋体"/>
                <w:szCs w:val="21"/>
              </w:rPr>
            </w:pPr>
            <w:r>
              <w:rPr>
                <w:rFonts w:ascii="Times New Roman" w:hAnsi="Times New Roman" w:eastAsia="宋体"/>
                <w:szCs w:val="21"/>
              </w:rPr>
              <w:t>99</w:t>
            </w:r>
          </w:p>
        </w:tc>
        <w:tc>
          <w:tcPr>
            <w:tcW w:w="1019"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40</w:t>
            </w:r>
          </w:p>
        </w:tc>
        <w:tc>
          <w:tcPr>
            <w:tcW w:w="1245" w:type="pct"/>
            <w:vMerge w:val="continue"/>
            <w:shd w:val="clear" w:color="auto" w:fill="auto"/>
            <w:noWrap w:val="0"/>
            <w:vAlign w:val="center"/>
          </w:tcPr>
          <w:p>
            <w:pPr>
              <w:adjustRightInd w:val="0"/>
              <w:snapToGrid w:val="0"/>
              <w:jc w:val="center"/>
              <w:rPr>
                <w:rFonts w:ascii="Times New Roman" w:hAnsi="Times New Roman" w:eastAsia="宋体"/>
              </w:rPr>
            </w:pPr>
          </w:p>
        </w:tc>
      </w:tr>
    </w:tbl>
    <w:p>
      <w:pPr>
        <w:pStyle w:val="2"/>
        <w:numPr>
          <w:ilvl w:val="0"/>
          <w:numId w:val="0"/>
        </w:numPr>
        <w:rPr>
          <w:rFonts w:hint="default" w:ascii="Times New Roman" w:hAnsi="Times New Roman" w:eastAsia="宋体"/>
          <w:bCs/>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
          <w:bCs w:val="0"/>
          <w:sz w:val="24"/>
          <w:szCs w:val="24"/>
          <w:lang w:val="en-US" w:eastAsia="zh-CN"/>
        </w:rPr>
        <w:t>2.原辅材料</w:t>
      </w:r>
      <w:r>
        <w:rPr>
          <w:rFonts w:hint="eastAsia" w:ascii="Times New Roman" w:hAnsi="Times New Roman" w:eastAsia="宋体" w:cs="Times New Roman"/>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sz w:val="24"/>
          <w:szCs w:val="24"/>
          <w:lang w:eastAsia="zh-CN"/>
        </w:rPr>
        <w:t>南通利奥化工科技有限公司</w:t>
      </w:r>
      <w:r>
        <w:rPr>
          <w:rFonts w:ascii="Times New Roman" w:hAnsi="Times New Roman" w:eastAsia="宋体" w:cs="Times New Roman"/>
          <w:sz w:val="24"/>
          <w:szCs w:val="24"/>
        </w:rPr>
        <w:t>生产所需的原辅材料具体用量见表</w:t>
      </w:r>
      <w:r>
        <w:rPr>
          <w:rFonts w:hint="eastAsia" w:ascii="Times New Roman" w:hAnsi="Times New Roman" w:eastAsia="宋体" w:cs="Times New Roman"/>
          <w:sz w:val="24"/>
          <w:szCs w:val="24"/>
          <w:lang w:val="en-US" w:eastAsia="zh-CN"/>
        </w:rPr>
        <w:t>4.1</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lang w:eastAsia="zh-CN"/>
        </w:rPr>
        <w:t>。</w:t>
      </w:r>
    </w:p>
    <w:p>
      <w:pPr>
        <w:spacing w:line="360" w:lineRule="auto"/>
        <w:ind w:firstLine="482" w:firstLineChars="200"/>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ascii="Times New Roman" w:hAnsi="Times New Roman" w:eastAsia="宋体" w:cs="Times New Roman"/>
          <w:b/>
          <w:sz w:val="24"/>
          <w:szCs w:val="24"/>
          <w:lang w:val="en-US" w:eastAsia="zh-CN"/>
        </w:rPr>
        <w:t>4.1</w:t>
      </w:r>
      <w:r>
        <w:rPr>
          <w:rFonts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2</w:t>
      </w:r>
      <w:r>
        <w:rPr>
          <w:rFonts w:ascii="Times New Roman" w:hAnsi="Times New Roman" w:eastAsia="宋体" w:cs="Times New Roman"/>
          <w:b/>
          <w:sz w:val="24"/>
          <w:szCs w:val="24"/>
        </w:rPr>
        <w:t>主要原辅材料消耗量</w:t>
      </w:r>
    </w:p>
    <w:tbl>
      <w:tblPr>
        <w:tblStyle w:val="20"/>
        <w:tblW w:w="4791"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189"/>
        <w:gridCol w:w="1969"/>
        <w:gridCol w:w="2158"/>
        <w:gridCol w:w="1587"/>
        <w:gridCol w:w="125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728"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产品</w:t>
            </w:r>
          </w:p>
        </w:tc>
        <w:tc>
          <w:tcPr>
            <w:tcW w:w="1206"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原料名称</w:t>
            </w:r>
          </w:p>
        </w:tc>
        <w:tc>
          <w:tcPr>
            <w:tcW w:w="1322"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吨产品耗量(kg/t)</w:t>
            </w:r>
          </w:p>
        </w:tc>
        <w:tc>
          <w:tcPr>
            <w:tcW w:w="972"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年耗量(t/a)</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贮存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728" w:type="pct"/>
            <w:vMerge w:val="restar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二氯频哪酮</w:t>
            </w:r>
          </w:p>
        </w:tc>
        <w:tc>
          <w:tcPr>
            <w:tcW w:w="1206"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频哪酮</w:t>
            </w:r>
          </w:p>
        </w:tc>
        <w:tc>
          <w:tcPr>
            <w:tcW w:w="1322"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597</w:t>
            </w:r>
          </w:p>
        </w:tc>
        <w:tc>
          <w:tcPr>
            <w:tcW w:w="972" w:type="pct"/>
            <w:shd w:val="clear" w:color="auto" w:fill="auto"/>
            <w:noWrap w:val="0"/>
            <w:vAlign w:val="center"/>
          </w:tcPr>
          <w:p>
            <w:pPr>
              <w:jc w:val="center"/>
              <w:rPr>
                <w:rFonts w:ascii="Times New Roman" w:hAnsi="Times New Roman" w:eastAsia="宋体"/>
                <w:sz w:val="24"/>
                <w:szCs w:val="24"/>
              </w:rPr>
            </w:pPr>
            <w:r>
              <w:rPr>
                <w:rFonts w:ascii="Times New Roman" w:hAnsi="Times New Roman" w:eastAsia="宋体"/>
                <w:sz w:val="24"/>
                <w:szCs w:val="24"/>
              </w:rPr>
              <w:t>896</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储罐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氯气</w:t>
            </w:r>
          </w:p>
        </w:tc>
        <w:tc>
          <w:tcPr>
            <w:tcW w:w="1322"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841</w:t>
            </w:r>
          </w:p>
        </w:tc>
        <w:tc>
          <w:tcPr>
            <w:tcW w:w="972" w:type="pct"/>
            <w:shd w:val="clear" w:color="auto" w:fill="auto"/>
            <w:noWrap w:val="0"/>
            <w:vAlign w:val="center"/>
          </w:tcPr>
          <w:p>
            <w:pPr>
              <w:jc w:val="center"/>
              <w:rPr>
                <w:rFonts w:ascii="Times New Roman" w:hAnsi="Times New Roman" w:eastAsia="宋体"/>
                <w:sz w:val="24"/>
                <w:szCs w:val="24"/>
              </w:rPr>
            </w:pPr>
            <w:r>
              <w:rPr>
                <w:rFonts w:ascii="Times New Roman" w:hAnsi="Times New Roman" w:eastAsia="宋体"/>
              </w:rPr>
              <w:t>1262</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钢瓶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4"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循环水</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hint="eastAsia" w:ascii="Times New Roman" w:hAnsi="Times New Roman" w:eastAsia="宋体"/>
                <w:kern w:val="0"/>
                <w:sz w:val="21"/>
                <w:szCs w:val="21"/>
              </w:rPr>
              <w:t>1.2</w:t>
            </w:r>
            <w:r>
              <w:rPr>
                <w:rFonts w:ascii="Times New Roman" w:hAnsi="Times New Roman" w:eastAsia="宋体"/>
                <w:kern w:val="0"/>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1179</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8"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电</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hint="eastAsia" w:ascii="Times New Roman" w:hAnsi="Times New Roman" w:eastAsia="宋体"/>
                <w:kern w:val="0"/>
                <w:sz w:val="21"/>
                <w:szCs w:val="21"/>
              </w:rPr>
              <w:t>50.1</w:t>
            </w:r>
            <w:r>
              <w:rPr>
                <w:rFonts w:ascii="Times New Roman" w:hAnsi="Times New Roman" w:eastAsia="宋体"/>
                <w:kern w:val="0"/>
                <w:sz w:val="21"/>
                <w:szCs w:val="21"/>
              </w:rPr>
              <w:t>（度/吨产品）</w:t>
            </w:r>
          </w:p>
        </w:tc>
        <w:tc>
          <w:tcPr>
            <w:tcW w:w="972"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40400度/a</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6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蒸汽</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hint="eastAsia" w:ascii="Times New Roman" w:hAnsi="Times New Roman" w:eastAsia="宋体"/>
                <w:kern w:val="0"/>
                <w:sz w:val="21"/>
                <w:szCs w:val="21"/>
              </w:rPr>
              <w:t>0.2</w:t>
            </w:r>
            <w:r>
              <w:rPr>
                <w:rFonts w:ascii="Times New Roman" w:hAnsi="Times New Roman" w:eastAsia="宋体"/>
                <w:kern w:val="0"/>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295</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8" w:hRule="atLeast"/>
        </w:trPr>
        <w:tc>
          <w:tcPr>
            <w:tcW w:w="728" w:type="pct"/>
            <w:vMerge w:val="restar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氯化苄</w:t>
            </w:r>
          </w:p>
        </w:tc>
        <w:tc>
          <w:tcPr>
            <w:tcW w:w="1206"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甲苯（</w:t>
            </w:r>
            <w:r>
              <w:rPr>
                <w:rFonts w:hint="eastAsia" w:ascii="Times New Roman" w:hAnsi="Times New Roman" w:eastAsia="宋体" w:cs="宋体"/>
                <w:kern w:val="0"/>
                <w:szCs w:val="21"/>
              </w:rPr>
              <w:t>≧</w:t>
            </w:r>
            <w:r>
              <w:rPr>
                <w:rFonts w:ascii="Times New Roman" w:hAnsi="Times New Roman" w:eastAsia="宋体"/>
                <w:kern w:val="0"/>
                <w:szCs w:val="21"/>
              </w:rPr>
              <w:t>99％）</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743.8</w:t>
            </w:r>
          </w:p>
        </w:tc>
        <w:tc>
          <w:tcPr>
            <w:tcW w:w="972"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584.65</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储罐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氯气（</w:t>
            </w:r>
            <w:r>
              <w:rPr>
                <w:rFonts w:hint="eastAsia" w:ascii="Times New Roman" w:hAnsi="Times New Roman" w:eastAsia="宋体" w:cs="宋体"/>
                <w:kern w:val="0"/>
                <w:szCs w:val="21"/>
              </w:rPr>
              <w:t>≧</w:t>
            </w:r>
            <w:r>
              <w:rPr>
                <w:rFonts w:ascii="Times New Roman" w:hAnsi="Times New Roman" w:eastAsia="宋体"/>
                <w:kern w:val="0"/>
                <w:szCs w:val="21"/>
              </w:rPr>
              <w:t>99％）</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585.3</w:t>
            </w:r>
          </w:p>
        </w:tc>
        <w:tc>
          <w:tcPr>
            <w:tcW w:w="972"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460.02</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钢瓶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BPO</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7.6</w:t>
            </w:r>
          </w:p>
        </w:tc>
        <w:tc>
          <w:tcPr>
            <w:tcW w:w="972"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6</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循环水</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hint="eastAsia" w:ascii="Times New Roman" w:hAnsi="Times New Roman" w:eastAsia="宋体"/>
                <w:kern w:val="0"/>
                <w:sz w:val="21"/>
                <w:szCs w:val="21"/>
              </w:rPr>
              <w:t>1.5</w:t>
            </w:r>
            <w:r>
              <w:rPr>
                <w:rFonts w:ascii="Times New Roman" w:hAnsi="Times New Roman" w:eastAsia="宋体"/>
                <w:kern w:val="0"/>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1179</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电</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hint="eastAsia" w:ascii="Times New Roman" w:hAnsi="Times New Roman" w:eastAsia="宋体"/>
                <w:kern w:val="0"/>
                <w:sz w:val="21"/>
                <w:szCs w:val="21"/>
              </w:rPr>
              <w:t>51.4</w:t>
            </w:r>
            <w:r>
              <w:rPr>
                <w:rFonts w:ascii="Times New Roman" w:hAnsi="Times New Roman" w:eastAsia="宋体"/>
                <w:kern w:val="0"/>
                <w:sz w:val="21"/>
                <w:szCs w:val="21"/>
              </w:rPr>
              <w:t>（度/吨产品）</w:t>
            </w:r>
          </w:p>
        </w:tc>
        <w:tc>
          <w:tcPr>
            <w:tcW w:w="972"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40400度/a</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kern w:val="0"/>
                <w:sz w:val="21"/>
                <w:szCs w:val="21"/>
              </w:rPr>
            </w:pPr>
            <w:r>
              <w:rPr>
                <w:rFonts w:ascii="Times New Roman" w:hAnsi="Times New Roman" w:eastAsia="宋体"/>
                <w:kern w:val="0"/>
                <w:sz w:val="21"/>
                <w:szCs w:val="21"/>
              </w:rPr>
              <w:t>蒸汽</w:t>
            </w:r>
          </w:p>
        </w:tc>
        <w:tc>
          <w:tcPr>
            <w:tcW w:w="1322" w:type="pct"/>
            <w:shd w:val="clear" w:color="auto" w:fill="auto"/>
            <w:noWrap w:val="0"/>
            <w:vAlign w:val="center"/>
          </w:tcPr>
          <w:p>
            <w:pPr>
              <w:pStyle w:val="48"/>
              <w:spacing w:line="240" w:lineRule="auto"/>
              <w:rPr>
                <w:rFonts w:ascii="Times New Roman" w:hAnsi="Times New Roman" w:eastAsia="宋体"/>
                <w:kern w:val="0"/>
                <w:sz w:val="21"/>
                <w:szCs w:val="21"/>
              </w:rPr>
            </w:pPr>
            <w:r>
              <w:rPr>
                <w:rFonts w:hint="eastAsia" w:ascii="Times New Roman" w:hAnsi="Times New Roman" w:eastAsia="宋体"/>
                <w:kern w:val="0"/>
                <w:sz w:val="21"/>
                <w:szCs w:val="21"/>
              </w:rPr>
              <w:t>0.375</w:t>
            </w:r>
            <w:r>
              <w:rPr>
                <w:rFonts w:ascii="Times New Roman" w:hAnsi="Times New Roman" w:eastAsia="宋体"/>
                <w:kern w:val="0"/>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kern w:val="0"/>
                <w:sz w:val="21"/>
                <w:szCs w:val="21"/>
              </w:rPr>
            </w:pPr>
            <w:r>
              <w:rPr>
                <w:rFonts w:hint="eastAsia" w:ascii="Times New Roman" w:hAnsi="Times New Roman" w:eastAsia="宋体"/>
                <w:kern w:val="0"/>
                <w:sz w:val="21"/>
                <w:szCs w:val="21"/>
              </w:rPr>
              <w:t>295</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restar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三氯苄</w:t>
            </w:r>
          </w:p>
        </w:tc>
        <w:tc>
          <w:tcPr>
            <w:tcW w:w="1206" w:type="pct"/>
            <w:shd w:val="clear" w:color="auto" w:fill="auto"/>
            <w:noWrap w:val="0"/>
            <w:vAlign w:val="center"/>
          </w:tcPr>
          <w:p>
            <w:pPr>
              <w:jc w:val="center"/>
              <w:rPr>
                <w:rFonts w:ascii="Times New Roman" w:hAnsi="Times New Roman" w:eastAsia="宋体"/>
                <w:szCs w:val="21"/>
              </w:rPr>
            </w:pPr>
            <w:r>
              <w:rPr>
                <w:rFonts w:ascii="Times New Roman" w:hAnsi="Times New Roman" w:eastAsia="宋体"/>
                <w:szCs w:val="21"/>
              </w:rPr>
              <w:t>甲苯（</w:t>
            </w:r>
            <w:r>
              <w:rPr>
                <w:rFonts w:hint="eastAsia" w:ascii="Times New Roman" w:hAnsi="Times New Roman" w:eastAsia="宋体" w:cs="宋体"/>
                <w:szCs w:val="21"/>
              </w:rPr>
              <w:t>≧</w:t>
            </w:r>
            <w:r>
              <w:rPr>
                <w:rFonts w:ascii="Times New Roman" w:hAnsi="Times New Roman" w:eastAsia="宋体"/>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523</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199.8</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储罐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jc w:val="center"/>
              <w:rPr>
                <w:rFonts w:ascii="Times New Roman" w:hAnsi="Times New Roman" w:eastAsia="宋体"/>
                <w:szCs w:val="21"/>
              </w:rPr>
            </w:pPr>
            <w:r>
              <w:rPr>
                <w:rFonts w:ascii="Times New Roman" w:hAnsi="Times New Roman" w:eastAsia="宋体"/>
                <w:szCs w:val="21"/>
              </w:rPr>
              <w:t>氯气（</w:t>
            </w:r>
            <w:r>
              <w:rPr>
                <w:rFonts w:hint="eastAsia" w:ascii="Times New Roman" w:hAnsi="Times New Roman" w:eastAsia="宋体" w:cs="宋体"/>
                <w:szCs w:val="21"/>
              </w:rPr>
              <w:t>≧</w:t>
            </w:r>
            <w:r>
              <w:rPr>
                <w:rFonts w:ascii="Times New Roman" w:hAnsi="Times New Roman" w:eastAsia="宋体"/>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1179.4</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450.53</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钢瓶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jc w:val="center"/>
              <w:rPr>
                <w:rFonts w:ascii="Times New Roman" w:hAnsi="Times New Roman" w:eastAsia="宋体"/>
                <w:szCs w:val="21"/>
              </w:rPr>
            </w:pPr>
            <w:r>
              <w:rPr>
                <w:rFonts w:ascii="Times New Roman" w:hAnsi="Times New Roman" w:eastAsia="宋体"/>
                <w:szCs w:val="21"/>
              </w:rPr>
              <w:t>BPO</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15.7</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6</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自来水</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0.65</w:t>
            </w:r>
            <w:r>
              <w:rPr>
                <w:rFonts w:ascii="Times New Roman" w:hAnsi="Times New Roman" w:eastAsia="宋体"/>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248.3</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电</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171.2</w:t>
            </w:r>
            <w:r>
              <w:rPr>
                <w:rFonts w:ascii="Times New Roman" w:hAnsi="Times New Roman" w:eastAsia="宋体"/>
                <w:sz w:val="21"/>
                <w:szCs w:val="21"/>
              </w:rPr>
              <w:t>（度/吨产品）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63398度/a</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蒸汽</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1.79</w:t>
            </w:r>
            <w:r>
              <w:rPr>
                <w:rFonts w:ascii="Times New Roman" w:hAnsi="Times New Roman" w:eastAsia="宋体"/>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683</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restar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苯甲醛</w:t>
            </w: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甲苯（</w:t>
            </w:r>
            <w:r>
              <w:rPr>
                <w:rFonts w:hint="eastAsia" w:ascii="Times New Roman" w:hAnsi="Times New Roman" w:eastAsia="宋体" w:cs="宋体"/>
                <w:sz w:val="21"/>
                <w:szCs w:val="21"/>
              </w:rPr>
              <w:t>≧</w:t>
            </w:r>
            <w:r>
              <w:rPr>
                <w:rFonts w:ascii="Times New Roman" w:hAnsi="Times New Roman" w:eastAsia="宋体"/>
                <w:sz w:val="21"/>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1482.8</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946.01</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储罐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氯气（</w:t>
            </w:r>
            <w:r>
              <w:rPr>
                <w:rFonts w:hint="eastAsia" w:ascii="Times New Roman" w:hAnsi="Times New Roman" w:eastAsia="宋体" w:cs="宋体"/>
                <w:sz w:val="21"/>
                <w:szCs w:val="21"/>
              </w:rPr>
              <w:t>≧</w:t>
            </w:r>
            <w:r>
              <w:rPr>
                <w:rFonts w:ascii="Times New Roman" w:hAnsi="Times New Roman" w:eastAsia="宋体"/>
                <w:sz w:val="21"/>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1854.3</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1183.02</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钢瓶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BPO</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9.4</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6</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工艺水</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170.0</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108.45</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催化剂</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18.8</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12</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自来水</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1.35</w:t>
            </w:r>
            <w:r>
              <w:rPr>
                <w:rFonts w:ascii="Times New Roman" w:hAnsi="Times New Roman" w:eastAsia="宋体"/>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861.3</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电</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243.9</w:t>
            </w:r>
            <w:r>
              <w:rPr>
                <w:rFonts w:ascii="Times New Roman" w:hAnsi="Times New Roman" w:eastAsia="宋体"/>
                <w:sz w:val="21"/>
                <w:szCs w:val="21"/>
              </w:rPr>
              <w:t>（度/吨产品）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155608度/a</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蒸汽</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2.86</w:t>
            </w:r>
            <w:r>
              <w:rPr>
                <w:rFonts w:ascii="Times New Roman" w:hAnsi="Times New Roman" w:eastAsia="宋体"/>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1825</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restar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苯甲酰氯</w:t>
            </w: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甲苯（</w:t>
            </w:r>
            <w:r>
              <w:rPr>
                <w:rFonts w:hint="eastAsia" w:ascii="Times New Roman" w:hAnsi="Times New Roman" w:eastAsia="宋体" w:cs="宋体"/>
                <w:sz w:val="21"/>
                <w:szCs w:val="21"/>
              </w:rPr>
              <w:t>≧</w:t>
            </w:r>
            <w:r>
              <w:rPr>
                <w:rFonts w:ascii="Times New Roman" w:hAnsi="Times New Roman" w:eastAsia="宋体"/>
                <w:sz w:val="21"/>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347.8</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319.17</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储罐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氯气（</w:t>
            </w:r>
            <w:r>
              <w:rPr>
                <w:rFonts w:hint="eastAsia" w:ascii="Times New Roman" w:hAnsi="Times New Roman" w:eastAsia="宋体" w:cs="宋体"/>
                <w:sz w:val="21"/>
                <w:szCs w:val="21"/>
              </w:rPr>
              <w:t>≧</w:t>
            </w:r>
            <w:r>
              <w:rPr>
                <w:rFonts w:ascii="Times New Roman" w:hAnsi="Times New Roman" w:eastAsia="宋体"/>
                <w:sz w:val="21"/>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800.6</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734.94</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钢瓶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BPO</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9.8</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9</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苯甲酸（</w:t>
            </w:r>
            <w:r>
              <w:rPr>
                <w:rFonts w:hint="eastAsia" w:ascii="Times New Roman" w:hAnsi="Times New Roman" w:eastAsia="宋体" w:cs="宋体"/>
                <w:sz w:val="21"/>
                <w:szCs w:val="21"/>
              </w:rPr>
              <w:t>≧</w:t>
            </w:r>
            <w:r>
              <w:rPr>
                <w:rFonts w:ascii="Times New Roman" w:hAnsi="Times New Roman" w:eastAsia="宋体"/>
                <w:sz w:val="21"/>
                <w:szCs w:val="21"/>
              </w:rPr>
              <w:t>99％）</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447.3</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410.59</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催化剂</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13.1</w:t>
            </w:r>
          </w:p>
        </w:tc>
        <w:tc>
          <w:tcPr>
            <w:tcW w:w="972"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12</w:t>
            </w:r>
          </w:p>
        </w:tc>
        <w:tc>
          <w:tcPr>
            <w:tcW w:w="770" w:type="pc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kern w:val="0"/>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自来水</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0.72</w:t>
            </w:r>
            <w:r>
              <w:rPr>
                <w:rFonts w:ascii="Times New Roman" w:hAnsi="Times New Roman" w:eastAsia="宋体"/>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660.96</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电</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77.7</w:t>
            </w:r>
            <w:r>
              <w:rPr>
                <w:rFonts w:ascii="Times New Roman" w:hAnsi="Times New Roman" w:eastAsia="宋体"/>
                <w:sz w:val="21"/>
                <w:szCs w:val="21"/>
              </w:rPr>
              <w:t>（度/吨产品）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71329度/a</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pStyle w:val="48"/>
              <w:spacing w:line="240" w:lineRule="auto"/>
              <w:rPr>
                <w:rFonts w:ascii="Times New Roman" w:hAnsi="Times New Roman" w:eastAsia="宋体"/>
                <w:sz w:val="21"/>
                <w:szCs w:val="21"/>
              </w:rPr>
            </w:pPr>
            <w:r>
              <w:rPr>
                <w:rFonts w:ascii="Times New Roman" w:hAnsi="Times New Roman" w:eastAsia="宋体"/>
                <w:sz w:val="21"/>
                <w:szCs w:val="21"/>
              </w:rPr>
              <w:t>蒸汽</w:t>
            </w:r>
          </w:p>
        </w:tc>
        <w:tc>
          <w:tcPr>
            <w:tcW w:w="1322" w:type="pct"/>
            <w:shd w:val="clear" w:color="auto" w:fill="auto"/>
            <w:noWrap w:val="0"/>
            <w:vAlign w:val="center"/>
          </w:tcPr>
          <w:p>
            <w:pPr>
              <w:pStyle w:val="48"/>
              <w:spacing w:line="240" w:lineRule="auto"/>
              <w:rPr>
                <w:rFonts w:ascii="Times New Roman" w:hAnsi="Times New Roman" w:eastAsia="宋体"/>
                <w:sz w:val="21"/>
                <w:szCs w:val="21"/>
              </w:rPr>
            </w:pPr>
            <w:r>
              <w:rPr>
                <w:rFonts w:hint="eastAsia" w:ascii="Times New Roman" w:hAnsi="Times New Roman" w:eastAsia="宋体"/>
                <w:sz w:val="21"/>
                <w:szCs w:val="21"/>
              </w:rPr>
              <w:t>1.5</w:t>
            </w:r>
            <w:r>
              <w:rPr>
                <w:rFonts w:ascii="Times New Roman" w:hAnsi="Times New Roman" w:eastAsia="宋体"/>
                <w:sz w:val="21"/>
                <w:szCs w:val="21"/>
              </w:rPr>
              <w:t>（吨/吨产品）</w:t>
            </w:r>
          </w:p>
        </w:tc>
        <w:tc>
          <w:tcPr>
            <w:tcW w:w="972" w:type="pct"/>
            <w:shd w:val="clear" w:color="auto" w:fill="auto"/>
            <w:noWrap w:val="0"/>
            <w:vAlign w:val="center"/>
          </w:tcPr>
          <w:p>
            <w:pPr>
              <w:pStyle w:val="48"/>
              <w:spacing w:line="240" w:lineRule="auto"/>
              <w:rPr>
                <w:rFonts w:hint="eastAsia" w:ascii="Times New Roman" w:hAnsi="Times New Roman" w:eastAsia="宋体"/>
                <w:sz w:val="21"/>
                <w:szCs w:val="21"/>
              </w:rPr>
            </w:pPr>
            <w:r>
              <w:rPr>
                <w:rFonts w:hint="eastAsia" w:ascii="Times New Roman" w:hAnsi="Times New Roman" w:eastAsia="宋体"/>
                <w:sz w:val="21"/>
                <w:szCs w:val="21"/>
              </w:rPr>
              <w:t>1377</w:t>
            </w:r>
          </w:p>
        </w:tc>
        <w:tc>
          <w:tcPr>
            <w:tcW w:w="770" w:type="pct"/>
            <w:shd w:val="clear" w:color="auto" w:fill="auto"/>
            <w:noWrap w:val="0"/>
            <w:vAlign w:val="center"/>
          </w:tcPr>
          <w:p>
            <w:pPr>
              <w:widowControl/>
              <w:jc w:val="center"/>
              <w:rPr>
                <w:rFonts w:ascii="Times New Roman" w:hAnsi="Times New Roman" w:eastAsia="宋体"/>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restart"/>
            <w:shd w:val="clear" w:color="auto" w:fill="auto"/>
            <w:noWrap w:val="0"/>
            <w:vAlign w:val="center"/>
          </w:tcPr>
          <w:p>
            <w:pPr>
              <w:widowControl/>
              <w:jc w:val="center"/>
              <w:rPr>
                <w:rFonts w:ascii="Times New Roman" w:hAnsi="Times New Roman" w:eastAsia="宋体"/>
                <w:kern w:val="0"/>
                <w:szCs w:val="21"/>
              </w:rPr>
            </w:pPr>
            <w:r>
              <w:rPr>
                <w:rFonts w:ascii="Times New Roman" w:hAnsi="Times New Roman" w:eastAsia="宋体"/>
                <w:szCs w:val="21"/>
              </w:rPr>
              <w:t>3,5-二氯苯甲酰氯</w:t>
            </w:r>
          </w:p>
        </w:tc>
        <w:tc>
          <w:tcPr>
            <w:tcW w:w="1206" w:type="pct"/>
            <w:shd w:val="clear" w:color="auto" w:fill="auto"/>
            <w:noWrap w:val="0"/>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三氯苄</w:t>
            </w:r>
          </w:p>
        </w:tc>
        <w:tc>
          <w:tcPr>
            <w:tcW w:w="1322" w:type="pct"/>
            <w:shd w:val="clear" w:color="auto" w:fill="auto"/>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2.22</w:t>
            </w:r>
          </w:p>
        </w:tc>
        <w:tc>
          <w:tcPr>
            <w:tcW w:w="972" w:type="pct"/>
            <w:shd w:val="clear" w:color="auto" w:fill="auto"/>
            <w:noWrap w:val="0"/>
            <w:vAlign w:val="center"/>
          </w:tcPr>
          <w:p>
            <w:pPr>
              <w:jc w:val="center"/>
              <w:rPr>
                <w:rFonts w:hint="eastAsia" w:ascii="Times New Roman" w:hAnsi="Times New Roman" w:eastAsia="宋体" w:cstheme="minorBidi"/>
                <w:kern w:val="2"/>
                <w:sz w:val="21"/>
                <w:szCs w:val="21"/>
                <w:lang w:val="en-US" w:eastAsia="zh-CN" w:bidi="ar-SA"/>
              </w:rPr>
            </w:pPr>
            <w:r>
              <w:rPr>
                <w:rFonts w:ascii="Times New Roman" w:hAnsi="Times New Roman" w:eastAsia="宋体"/>
                <w:szCs w:val="21"/>
              </w:rPr>
              <w:t>1334.3</w:t>
            </w:r>
          </w:p>
        </w:tc>
        <w:tc>
          <w:tcPr>
            <w:tcW w:w="770" w:type="pct"/>
            <w:shd w:val="clear" w:color="auto" w:fill="auto"/>
            <w:noWrap w:val="0"/>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桶装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shd w:val="clear" w:color="auto" w:fill="auto"/>
            <w:noWrap w:val="0"/>
            <w:vAlign w:val="center"/>
          </w:tcPr>
          <w:p>
            <w:pPr>
              <w:widowControl/>
              <w:jc w:val="center"/>
              <w:rPr>
                <w:rFonts w:ascii="Times New Roman" w:hAnsi="Times New Roman" w:eastAsia="宋体"/>
                <w:kern w:val="0"/>
                <w:szCs w:val="21"/>
              </w:rPr>
            </w:pPr>
          </w:p>
        </w:tc>
        <w:tc>
          <w:tcPr>
            <w:tcW w:w="1206" w:type="pct"/>
            <w:shd w:val="clear" w:color="auto" w:fill="auto"/>
            <w:noWrap w:val="0"/>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间苯二甲酸</w:t>
            </w:r>
          </w:p>
        </w:tc>
        <w:tc>
          <w:tcPr>
            <w:tcW w:w="1322" w:type="pct"/>
            <w:shd w:val="clear" w:color="auto" w:fill="auto"/>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0.94</w:t>
            </w:r>
          </w:p>
        </w:tc>
        <w:tc>
          <w:tcPr>
            <w:tcW w:w="972" w:type="pct"/>
            <w:shd w:val="clear" w:color="auto" w:fill="auto"/>
            <w:noWrap w:val="0"/>
            <w:vAlign w:val="center"/>
          </w:tcPr>
          <w:p>
            <w:pPr>
              <w:jc w:val="center"/>
              <w:rPr>
                <w:rFonts w:hint="eastAsia" w:ascii="Times New Roman" w:hAnsi="Times New Roman" w:eastAsia="宋体" w:cstheme="minorBidi"/>
                <w:kern w:val="2"/>
                <w:sz w:val="21"/>
                <w:szCs w:val="21"/>
                <w:lang w:val="en-US" w:eastAsia="zh-CN" w:bidi="ar-SA"/>
              </w:rPr>
            </w:pPr>
            <w:r>
              <w:rPr>
                <w:rFonts w:ascii="Times New Roman" w:hAnsi="Times New Roman" w:eastAsia="宋体"/>
                <w:szCs w:val="21"/>
              </w:rPr>
              <w:t>562</w:t>
            </w:r>
          </w:p>
        </w:tc>
        <w:tc>
          <w:tcPr>
            <w:tcW w:w="770" w:type="pct"/>
            <w:shd w:val="clear" w:color="auto" w:fill="auto"/>
            <w:noWrap w:val="0"/>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tcPr>
          <w:p>
            <w:pPr>
              <w:widowControl/>
              <w:jc w:val="center"/>
              <w:rPr>
                <w:rFonts w:ascii="Times New Roman" w:hAnsi="Times New Roman" w:eastAsia="宋体"/>
                <w:kern w:val="0"/>
                <w:szCs w:val="21"/>
              </w:rPr>
            </w:pPr>
          </w:p>
        </w:tc>
        <w:tc>
          <w:tcPr>
            <w:tcW w:w="0" w:type="auto"/>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kern w:val="0"/>
              </w:rPr>
              <w:t>液氯</w:t>
            </w:r>
          </w:p>
        </w:tc>
        <w:tc>
          <w:tcPr>
            <w:tcW w:w="0" w:type="auto"/>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0.4</w:t>
            </w:r>
          </w:p>
        </w:tc>
        <w:tc>
          <w:tcPr>
            <w:tcW w:w="0" w:type="auto"/>
            <w:vAlign w:val="center"/>
          </w:tcPr>
          <w:p>
            <w:pPr>
              <w:jc w:val="center"/>
              <w:rPr>
                <w:rFonts w:hint="eastAsia" w:ascii="Times New Roman" w:hAnsi="Times New Roman" w:eastAsia="宋体" w:cstheme="minorBidi"/>
                <w:kern w:val="0"/>
                <w:sz w:val="21"/>
                <w:szCs w:val="22"/>
                <w:lang w:val="en-US" w:eastAsia="zh-CN" w:bidi="ar-SA"/>
              </w:rPr>
            </w:pPr>
            <w:r>
              <w:rPr>
                <w:rFonts w:ascii="Times New Roman" w:hAnsi="Times New Roman" w:eastAsia="宋体"/>
                <w:kern w:val="0"/>
              </w:rPr>
              <w:t>237.7</w:t>
            </w:r>
          </w:p>
        </w:tc>
        <w:tc>
          <w:tcPr>
            <w:tcW w:w="0" w:type="auto"/>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瓶装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tcPr>
          <w:p>
            <w:pPr>
              <w:widowControl/>
              <w:jc w:val="center"/>
              <w:rPr>
                <w:rFonts w:ascii="Times New Roman" w:hAnsi="Times New Roman" w:eastAsia="宋体"/>
                <w:kern w:val="0"/>
                <w:szCs w:val="21"/>
              </w:rPr>
            </w:pPr>
          </w:p>
        </w:tc>
        <w:tc>
          <w:tcPr>
            <w:tcW w:w="0" w:type="auto"/>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kern w:val="0"/>
              </w:rPr>
              <w:t>催化剂1</w:t>
            </w:r>
          </w:p>
        </w:tc>
        <w:tc>
          <w:tcPr>
            <w:tcW w:w="0" w:type="auto"/>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0.01</w:t>
            </w:r>
          </w:p>
        </w:tc>
        <w:tc>
          <w:tcPr>
            <w:tcW w:w="0" w:type="auto"/>
            <w:vAlign w:val="center"/>
          </w:tcPr>
          <w:p>
            <w:pPr>
              <w:jc w:val="center"/>
              <w:rPr>
                <w:rFonts w:hint="eastAsia" w:ascii="Times New Roman" w:hAnsi="Times New Roman" w:eastAsia="宋体" w:cstheme="minorBidi"/>
                <w:kern w:val="0"/>
                <w:sz w:val="21"/>
                <w:szCs w:val="22"/>
                <w:lang w:val="en-US" w:eastAsia="zh-CN" w:bidi="ar-SA"/>
              </w:rPr>
            </w:pPr>
            <w:r>
              <w:rPr>
                <w:rFonts w:ascii="Times New Roman" w:hAnsi="Times New Roman" w:eastAsia="宋体"/>
                <w:kern w:val="0"/>
              </w:rPr>
              <w:t>5.8</w:t>
            </w:r>
          </w:p>
        </w:tc>
        <w:tc>
          <w:tcPr>
            <w:tcW w:w="0" w:type="auto"/>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袋装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728" w:type="pct"/>
            <w:vMerge w:val="continue"/>
          </w:tcPr>
          <w:p>
            <w:pPr>
              <w:widowControl/>
              <w:jc w:val="center"/>
              <w:rPr>
                <w:rFonts w:ascii="Times New Roman" w:hAnsi="Times New Roman" w:eastAsia="宋体"/>
                <w:kern w:val="0"/>
                <w:szCs w:val="21"/>
              </w:rPr>
            </w:pPr>
          </w:p>
        </w:tc>
        <w:tc>
          <w:tcPr>
            <w:tcW w:w="0" w:type="auto"/>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kern w:val="0"/>
              </w:rPr>
              <w:t>催化剂2</w:t>
            </w:r>
          </w:p>
        </w:tc>
        <w:tc>
          <w:tcPr>
            <w:tcW w:w="0" w:type="auto"/>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0.00028</w:t>
            </w:r>
          </w:p>
        </w:tc>
        <w:tc>
          <w:tcPr>
            <w:tcW w:w="0" w:type="auto"/>
            <w:vAlign w:val="center"/>
          </w:tcPr>
          <w:p>
            <w:pPr>
              <w:jc w:val="center"/>
              <w:rPr>
                <w:rFonts w:hint="eastAsia" w:ascii="Times New Roman" w:hAnsi="Times New Roman" w:eastAsia="宋体" w:cstheme="minorBidi"/>
                <w:kern w:val="0"/>
                <w:sz w:val="21"/>
                <w:szCs w:val="22"/>
                <w:lang w:val="en-US" w:eastAsia="zh-CN" w:bidi="ar-SA"/>
              </w:rPr>
            </w:pPr>
            <w:r>
              <w:rPr>
                <w:rFonts w:ascii="Times New Roman" w:hAnsi="Times New Roman" w:eastAsia="宋体"/>
                <w:kern w:val="0"/>
              </w:rPr>
              <w:t>0.17</w:t>
            </w:r>
          </w:p>
        </w:tc>
        <w:tc>
          <w:tcPr>
            <w:tcW w:w="0" w:type="auto"/>
            <w:vAlign w:val="center"/>
          </w:tcPr>
          <w:p>
            <w:pPr>
              <w:jc w:val="center"/>
              <w:rPr>
                <w:rFonts w:ascii="Times New Roman" w:hAnsi="Times New Roman" w:eastAsia="宋体" w:cstheme="minorBidi"/>
                <w:kern w:val="2"/>
                <w:sz w:val="21"/>
                <w:szCs w:val="21"/>
                <w:lang w:val="en-US" w:eastAsia="zh-CN" w:bidi="ar-SA"/>
              </w:rPr>
            </w:pPr>
            <w:r>
              <w:rPr>
                <w:rFonts w:ascii="Times New Roman" w:hAnsi="Times New Roman" w:eastAsia="宋体"/>
                <w:szCs w:val="21"/>
              </w:rPr>
              <w:t>袋装</w:t>
            </w:r>
          </w:p>
        </w:tc>
      </w:tr>
    </w:tbl>
    <w:p>
      <w:pPr>
        <w:pStyle w:val="2"/>
        <w:rPr>
          <w:rFonts w:hint="eastAsia" w:ascii="Times New Roman" w:hAnsi="Times New Roman" w:eastAsia="宋体"/>
          <w:lang w:val="en-US" w:eastAsia="zh-CN"/>
        </w:rPr>
      </w:pPr>
    </w:p>
    <w:p>
      <w:pPr>
        <w:spacing w:line="360" w:lineRule="auto"/>
        <w:ind w:firstLine="482" w:firstLineChars="200"/>
        <w:jc w:val="center"/>
        <w:rPr>
          <w:rFonts w:ascii="Times New Roman" w:hAnsi="Times New Roman" w:eastAsia="宋体"/>
          <w:b/>
          <w:sz w:val="24"/>
          <w:szCs w:val="24"/>
        </w:rPr>
      </w:pPr>
      <w:r>
        <w:rPr>
          <w:rFonts w:hint="eastAsia" w:ascii="Times New Roman" w:hAnsi="Times New Roman" w:eastAsia="宋体" w:cs="Times New Roman"/>
          <w:b/>
          <w:sz w:val="24"/>
          <w:szCs w:val="24"/>
        </w:rPr>
        <w:t>表</w:t>
      </w:r>
      <w:r>
        <w:rPr>
          <w:rFonts w:hint="eastAsia" w:ascii="Times New Roman" w:hAnsi="Times New Roman" w:eastAsia="宋体" w:cs="Times New Roman"/>
          <w:b/>
          <w:sz w:val="24"/>
          <w:szCs w:val="24"/>
          <w:lang w:val="en-US" w:eastAsia="zh-CN"/>
        </w:rPr>
        <w:t>4.1</w:t>
      </w:r>
      <w:r>
        <w:rPr>
          <w:rFonts w:hint="eastAsia"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3</w:t>
      </w:r>
      <w:r>
        <w:rPr>
          <w:rFonts w:hint="eastAsia" w:ascii="Times New Roman" w:hAnsi="Times New Roman" w:eastAsia="宋体" w:cs="Times New Roman"/>
          <w:b/>
          <w:sz w:val="24"/>
          <w:szCs w:val="24"/>
        </w:rPr>
        <w:t xml:space="preserve">  </w:t>
      </w:r>
      <w:r>
        <w:rPr>
          <w:rFonts w:ascii="Times New Roman" w:hAnsi="Times New Roman" w:eastAsia="宋体"/>
          <w:b/>
          <w:sz w:val="24"/>
          <w:szCs w:val="24"/>
        </w:rPr>
        <w:t>项目主要原料及产品储存方式及最大储存量</w:t>
      </w:r>
    </w:p>
    <w:tbl>
      <w:tblPr>
        <w:tblStyle w:val="20"/>
        <w:tblW w:w="450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187"/>
        <w:gridCol w:w="1187"/>
        <w:gridCol w:w="1384"/>
        <w:gridCol w:w="1191"/>
        <w:gridCol w:w="1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物品</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性状</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储存方式</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规格</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储存位置</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一次最大储存量（t）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氯气</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气体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钢瓶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500kg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液氯库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BPO</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固体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塑料内袋，纸袋外包</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25kg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原料仓库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苯甲酸</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固体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编织袋</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25kg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原料仓库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甲苯</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储罐</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V=30m</w:t>
            </w:r>
            <w:r>
              <w:rPr>
                <w:rFonts w:ascii="Times New Roman" w:hAnsi="Times New Roman" w:eastAsia="宋体"/>
                <w:szCs w:val="21"/>
              </w:rPr>
              <w:t>³</w:t>
            </w:r>
            <w:r>
              <w:rPr>
                <w:rFonts w:hint="eastAsia" w:ascii="Times New Roman" w:hAnsi="Times New Roman" w:eastAsia="宋体"/>
                <w:szCs w:val="21"/>
              </w:rPr>
              <w:t>、Φ2400*6600、卧式</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罐区</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21.2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rPr>
              <w:t>间苯二甲酸</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固体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szCs w:val="21"/>
              </w:rPr>
              <w:t>袋装</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kern w:val="0"/>
                <w:szCs w:val="21"/>
              </w:rPr>
              <w:t>≥99</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szCs w:val="21"/>
              </w:rPr>
              <w:t>原料仓库</w:t>
            </w:r>
          </w:p>
        </w:tc>
        <w:tc>
          <w:tcPr>
            <w:tcW w:w="771" w:type="pct"/>
            <w:tcBorders>
              <w:tl2br w:val="nil"/>
              <w:tr2bl w:val="nil"/>
            </w:tcBorders>
            <w:noWrap w:val="0"/>
            <w:vAlign w:val="center"/>
          </w:tcPr>
          <w:p>
            <w:pPr>
              <w:jc w:val="center"/>
              <w:rPr>
                <w:rFonts w:hint="default" w:ascii="Times New Roman" w:hAnsi="Times New Roman" w:eastAsia="宋体"/>
                <w:szCs w:val="21"/>
                <w:lang w:val="en-US" w:eastAsia="zh-CN"/>
              </w:rPr>
            </w:pPr>
            <w:r>
              <w:rPr>
                <w:rFonts w:hint="eastAsia" w:ascii="Times New Roman" w:hAnsi="Times New Roman" w:eastAsia="宋体"/>
              </w:rPr>
              <w:t>16</w:t>
            </w:r>
            <w:r>
              <w:rPr>
                <w:rFonts w:hint="eastAsia" w:ascii="Times New Roman" w:hAnsi="Times New Roman" w:eastAsia="宋体"/>
                <w:lang w:eastAsia="zh-CN"/>
              </w:rPr>
              <w:t>.</w:t>
            </w:r>
            <w:r>
              <w:rPr>
                <w:rFonts w:hint="eastAsia" w:ascii="Times New Roman" w:hAnsi="Times New Roman" w:eastAsia="宋体"/>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cstheme="minorBidi"/>
                <w:kern w:val="2"/>
                <w:sz w:val="21"/>
                <w:szCs w:val="22"/>
                <w:lang w:val="en-US" w:eastAsia="zh-CN" w:bidi="ar-SA"/>
              </w:rPr>
            </w:pPr>
            <w:r>
              <w:rPr>
                <w:rFonts w:ascii="Times New Roman" w:hAnsi="Times New Roman" w:eastAsia="宋体"/>
              </w:rPr>
              <w:t>催化剂1（三氯化铁）</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固体</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ascii="Times New Roman" w:hAnsi="Times New Roman" w:eastAsia="宋体"/>
                <w:szCs w:val="21"/>
              </w:rPr>
              <w:t>袋装</w:t>
            </w:r>
          </w:p>
        </w:tc>
        <w:tc>
          <w:tcPr>
            <w:tcW w:w="901" w:type="pct"/>
            <w:tcBorders>
              <w:tl2br w:val="nil"/>
              <w:tr2bl w:val="nil"/>
            </w:tcBorders>
            <w:noWrap w:val="0"/>
            <w:vAlign w:val="center"/>
          </w:tcPr>
          <w:p>
            <w:pPr>
              <w:widowControl/>
              <w:jc w:val="center"/>
              <w:rPr>
                <w:rFonts w:hint="eastAsia" w:ascii="Times New Roman" w:hAnsi="Times New Roman" w:eastAsia="宋体" w:cstheme="minorBidi"/>
                <w:kern w:val="0"/>
                <w:sz w:val="21"/>
                <w:szCs w:val="21"/>
                <w:lang w:val="en-US" w:eastAsia="zh-CN" w:bidi="ar-SA"/>
              </w:rPr>
            </w:pPr>
            <w:r>
              <w:rPr>
                <w:rFonts w:ascii="Times New Roman" w:hAnsi="Times New Roman" w:eastAsia="宋体"/>
                <w:kern w:val="0"/>
                <w:szCs w:val="21"/>
              </w:rPr>
              <w:t>≥99.9</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szCs w:val="21"/>
              </w:rPr>
              <w:t>原料仓库</w:t>
            </w:r>
          </w:p>
        </w:tc>
        <w:tc>
          <w:tcPr>
            <w:tcW w:w="771" w:type="pct"/>
            <w:tcBorders>
              <w:tl2br w:val="nil"/>
              <w:tr2bl w:val="nil"/>
            </w:tcBorders>
            <w:noWrap w:val="0"/>
            <w:vAlign w:val="center"/>
          </w:tcPr>
          <w:p>
            <w:pPr>
              <w:jc w:val="center"/>
              <w:rPr>
                <w:rFonts w:hint="eastAsia" w:ascii="Times New Roman" w:hAnsi="Times New Roman" w:eastAsia="宋体" w:cstheme="minorBidi"/>
                <w:kern w:val="2"/>
                <w:sz w:val="21"/>
                <w:szCs w:val="22"/>
                <w:lang w:val="en-US" w:eastAsia="zh-CN" w:bidi="ar-SA"/>
              </w:rPr>
            </w:pPr>
            <w:r>
              <w:rPr>
                <w:rFonts w:ascii="Times New Roman" w:hAnsi="Times New Roman" w:eastAsia="宋体"/>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cstheme="minorBidi"/>
                <w:kern w:val="2"/>
                <w:sz w:val="21"/>
                <w:szCs w:val="22"/>
                <w:lang w:val="en-US" w:eastAsia="zh-CN" w:bidi="ar-SA"/>
              </w:rPr>
            </w:pPr>
            <w:r>
              <w:rPr>
                <w:rFonts w:ascii="Times New Roman" w:hAnsi="Times New Roman" w:eastAsia="宋体"/>
              </w:rPr>
              <w:t>催化剂2（氧化铑）</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固体</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ascii="Times New Roman" w:hAnsi="Times New Roman" w:eastAsia="宋体"/>
                <w:szCs w:val="21"/>
              </w:rPr>
              <w:t>袋装</w:t>
            </w:r>
          </w:p>
        </w:tc>
        <w:tc>
          <w:tcPr>
            <w:tcW w:w="901" w:type="pct"/>
            <w:tcBorders>
              <w:tl2br w:val="nil"/>
              <w:tr2bl w:val="nil"/>
            </w:tcBorders>
            <w:noWrap w:val="0"/>
            <w:vAlign w:val="center"/>
          </w:tcPr>
          <w:p>
            <w:pPr>
              <w:jc w:val="center"/>
              <w:rPr>
                <w:rFonts w:hint="eastAsia" w:ascii="Times New Roman" w:hAnsi="Times New Roman" w:eastAsia="宋体" w:cstheme="minorBidi"/>
                <w:kern w:val="0"/>
                <w:sz w:val="21"/>
                <w:szCs w:val="21"/>
                <w:lang w:val="en-US" w:eastAsia="zh-CN" w:bidi="ar-SA"/>
              </w:rPr>
            </w:pPr>
            <w:r>
              <w:rPr>
                <w:rFonts w:ascii="Times New Roman" w:hAnsi="Times New Roman" w:eastAsia="宋体"/>
                <w:kern w:val="0"/>
                <w:szCs w:val="21"/>
              </w:rPr>
              <w:t>≥99.9</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szCs w:val="21"/>
              </w:rPr>
              <w:t>原料仓库</w:t>
            </w:r>
          </w:p>
        </w:tc>
        <w:tc>
          <w:tcPr>
            <w:tcW w:w="771" w:type="pct"/>
            <w:tcBorders>
              <w:tl2br w:val="nil"/>
              <w:tr2bl w:val="nil"/>
            </w:tcBorders>
            <w:noWrap w:val="0"/>
            <w:vAlign w:val="center"/>
          </w:tcPr>
          <w:p>
            <w:pPr>
              <w:jc w:val="center"/>
              <w:rPr>
                <w:rFonts w:hint="eastAsia" w:ascii="Times New Roman" w:hAnsi="Times New Roman" w:eastAsia="宋体" w:cstheme="minorBidi"/>
                <w:kern w:val="2"/>
                <w:sz w:val="21"/>
                <w:szCs w:val="22"/>
                <w:lang w:val="en-US" w:eastAsia="zh-CN" w:bidi="ar-SA"/>
              </w:rPr>
            </w:pPr>
            <w:r>
              <w:rPr>
                <w:rFonts w:ascii="Times New Roman" w:hAnsi="Times New Roman" w:eastAsia="宋体"/>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cstheme="minorBidi"/>
                <w:kern w:val="2"/>
                <w:sz w:val="21"/>
                <w:szCs w:val="22"/>
                <w:lang w:val="en-US" w:eastAsia="zh-CN" w:bidi="ar-SA"/>
              </w:rPr>
            </w:pPr>
            <w:r>
              <w:rPr>
                <w:rFonts w:ascii="Times New Roman" w:hAnsi="Times New Roman" w:eastAsia="宋体"/>
              </w:rPr>
              <w:t>3，5-二氯苯甲酰氯</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铁桶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kern w:val="0"/>
                <w:szCs w:val="21"/>
              </w:rPr>
              <w:t>≥99</w:t>
            </w:r>
          </w:p>
        </w:tc>
        <w:tc>
          <w:tcPr>
            <w:tcW w:w="775" w:type="pct"/>
            <w:tcBorders>
              <w:tl2br w:val="nil"/>
              <w:tr2bl w:val="nil"/>
            </w:tcBorders>
            <w:noWrap w:val="0"/>
            <w:vAlign w:val="center"/>
          </w:tcPr>
          <w:p>
            <w:pPr>
              <w:pStyle w:val="43"/>
              <w:spacing w:line="300" w:lineRule="exact"/>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szCs w:val="24"/>
              </w:rPr>
              <w:t>产品库</w:t>
            </w:r>
          </w:p>
        </w:tc>
        <w:tc>
          <w:tcPr>
            <w:tcW w:w="771" w:type="pct"/>
            <w:tcBorders>
              <w:tl2br w:val="nil"/>
              <w:tr2bl w:val="nil"/>
            </w:tcBorders>
            <w:noWrap w:val="0"/>
            <w:vAlign w:val="center"/>
          </w:tcPr>
          <w:p>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cstheme="minorBidi"/>
                <w:kern w:val="2"/>
                <w:sz w:val="21"/>
                <w:szCs w:val="22"/>
                <w:lang w:val="en-US" w:eastAsia="zh-CN" w:bidi="ar-SA"/>
              </w:rPr>
            </w:pPr>
            <w:r>
              <w:rPr>
                <w:rFonts w:ascii="Times New Roman" w:hAnsi="Times New Roman" w:eastAsia="宋体"/>
              </w:rPr>
              <w:t>1，3，5-三氯苯</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szCs w:val="21"/>
              </w:rPr>
              <w:t>铁桶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kern w:val="0"/>
                <w:szCs w:val="21"/>
              </w:rPr>
              <w:t>≥99</w:t>
            </w:r>
          </w:p>
        </w:tc>
        <w:tc>
          <w:tcPr>
            <w:tcW w:w="775" w:type="pct"/>
            <w:tcBorders>
              <w:tl2br w:val="nil"/>
              <w:tr2bl w:val="nil"/>
            </w:tcBorders>
            <w:noWrap w:val="0"/>
            <w:vAlign w:val="center"/>
          </w:tcPr>
          <w:p>
            <w:pPr>
              <w:pStyle w:val="43"/>
              <w:spacing w:line="300" w:lineRule="exact"/>
              <w:jc w:val="center"/>
              <w:rPr>
                <w:rFonts w:hint="eastAsia" w:ascii="Times New Roman" w:hAnsi="Times New Roman" w:eastAsia="宋体" w:cs="Times New Roman"/>
                <w:kern w:val="2"/>
                <w:sz w:val="21"/>
                <w:szCs w:val="24"/>
                <w:lang w:val="en-US" w:eastAsia="zh-CN" w:bidi="ar-SA"/>
              </w:rPr>
            </w:pPr>
            <w:r>
              <w:rPr>
                <w:rFonts w:ascii="Times New Roman" w:hAnsi="Times New Roman" w:eastAsia="宋体"/>
                <w:szCs w:val="24"/>
              </w:rPr>
              <w:t>甲类仓库</w:t>
            </w:r>
          </w:p>
        </w:tc>
        <w:tc>
          <w:tcPr>
            <w:tcW w:w="771" w:type="pct"/>
            <w:tcBorders>
              <w:tl2br w:val="nil"/>
              <w:tr2bl w:val="nil"/>
            </w:tcBorders>
            <w:noWrap w:val="0"/>
            <w:vAlign w:val="center"/>
          </w:tcPr>
          <w:p>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氯化苄</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铁桶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产品库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二氯苄</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铁桶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产品库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三氯苄</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塑料桶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产品库</w:t>
            </w:r>
          </w:p>
        </w:tc>
        <w:tc>
          <w:tcPr>
            <w:tcW w:w="771" w:type="pct"/>
            <w:tcBorders>
              <w:tl2br w:val="nil"/>
              <w:tr2bl w:val="nil"/>
            </w:tcBorders>
            <w:noWrap w:val="0"/>
            <w:vAlign w:val="center"/>
          </w:tcPr>
          <w:p>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苯甲醛</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塑料桶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产品库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甲醇</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塑料桶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50kg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甲类库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苯甲酰氯</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塑料桶</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25kg</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产品库</w:t>
            </w:r>
          </w:p>
        </w:tc>
        <w:tc>
          <w:tcPr>
            <w:tcW w:w="77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稀盐酸</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液体</w:t>
            </w:r>
          </w:p>
        </w:tc>
        <w:tc>
          <w:tcPr>
            <w:tcW w:w="773"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储罐</w:t>
            </w:r>
          </w:p>
        </w:tc>
        <w:tc>
          <w:tcPr>
            <w:tcW w:w="901"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V=30m</w:t>
            </w:r>
            <w:r>
              <w:rPr>
                <w:rFonts w:ascii="Times New Roman" w:hAnsi="Times New Roman" w:eastAsia="宋体"/>
                <w:szCs w:val="21"/>
              </w:rPr>
              <w:t>³</w:t>
            </w:r>
            <w:r>
              <w:rPr>
                <w:rFonts w:hint="eastAsia" w:ascii="Times New Roman" w:hAnsi="Times New Roman" w:eastAsia="宋体"/>
                <w:szCs w:val="21"/>
              </w:rPr>
              <w:t>、Φ2400*6600、立式</w:t>
            </w:r>
          </w:p>
        </w:tc>
        <w:tc>
          <w:tcPr>
            <w:tcW w:w="775" w:type="pct"/>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罐区</w:t>
            </w:r>
          </w:p>
        </w:tc>
        <w:tc>
          <w:tcPr>
            <w:tcW w:w="771" w:type="pct"/>
            <w:tcBorders>
              <w:tl2br w:val="nil"/>
              <w:tr2bl w:val="nil"/>
            </w:tcBorders>
            <w:noWrap w:val="0"/>
            <w:vAlign w:val="center"/>
          </w:tcPr>
          <w:p>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100.0</w:t>
            </w:r>
          </w:p>
        </w:tc>
      </w:tr>
    </w:tbl>
    <w:p>
      <w:pPr>
        <w:pStyle w:val="2"/>
        <w:widowControl w:val="0"/>
        <w:numPr>
          <w:ilvl w:val="0"/>
          <w:numId w:val="0"/>
        </w:numPr>
        <w:jc w:val="both"/>
        <w:rPr>
          <w:rFonts w:hint="default" w:ascii="Times New Roman" w:hAnsi="Times New Roman" w:eastAsia="宋体" w:cs="Times New Roman"/>
          <w:b/>
          <w:bCs w:val="0"/>
          <w:kern w:val="2"/>
          <w:sz w:val="24"/>
          <w:szCs w:val="24"/>
          <w:lang w:val="en-US" w:eastAsia="zh-CN" w:bidi="ar-SA"/>
        </w:rPr>
      </w:pPr>
    </w:p>
    <w:p>
      <w:pPr>
        <w:pStyle w:val="2"/>
        <w:outlineLvl w:val="1"/>
        <w:rPr>
          <w:rFonts w:hint="eastAsia" w:ascii="Times New Roman" w:hAnsi="Times New Roman" w:eastAsia="宋体" w:cs="Times New Roman"/>
          <w:sz w:val="28"/>
          <w:szCs w:val="28"/>
          <w:lang w:val="en-US" w:eastAsia="zh-CN"/>
        </w:rPr>
      </w:pPr>
      <w:bookmarkStart w:id="22" w:name="_Toc11969"/>
      <w:r>
        <w:rPr>
          <w:rFonts w:hint="eastAsia" w:ascii="Times New Roman" w:hAnsi="Times New Roman" w:eastAsia="宋体" w:cs="Times New Roman"/>
          <w:sz w:val="28"/>
          <w:szCs w:val="28"/>
          <w:lang w:val="en-US" w:eastAsia="zh-CN"/>
        </w:rPr>
        <w:t>4.2企业设施布置</w:t>
      </w:r>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 xml:space="preserve">南通利奥化工科技有限公司主要由生产区、办公区和辅助区三个区组成。主要功能划分：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 xml:space="preserve">生产区：生产装置区主要为频哪酮车间、氯化苄联产车间（3,5-二氯苯甲酰氯联产车间）、二氯频哪酮车间；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 xml:space="preserve">办公区：办公区主要为办公楼、门卫、食堂等生活设施； </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辅助区：辅助区主要包括罐区、甲类库、液氯仓库、丙类库、危废仓库、导热油炉、消防水池、污水站、氯化钙池、应急池等。</w:t>
      </w:r>
    </w:p>
    <w:p>
      <w:pPr>
        <w:pStyle w:val="2"/>
        <w:outlineLvl w:val="1"/>
        <w:rPr>
          <w:rFonts w:hint="eastAsia" w:ascii="Times New Roman" w:hAnsi="Times New Roman" w:eastAsia="宋体" w:cs="Times New Roman"/>
          <w:sz w:val="24"/>
          <w:szCs w:val="24"/>
          <w:lang w:val="en-US" w:eastAsia="zh-CN"/>
        </w:rPr>
      </w:pPr>
      <w:bookmarkStart w:id="23" w:name="_Toc10884"/>
      <w:r>
        <w:rPr>
          <w:rFonts w:hint="eastAsia" w:ascii="Times New Roman" w:hAnsi="Times New Roman" w:eastAsia="宋体" w:cs="Times New Roman"/>
          <w:sz w:val="28"/>
          <w:szCs w:val="28"/>
          <w:lang w:val="en-US" w:eastAsia="zh-CN"/>
        </w:rPr>
        <w:t>4.3各设施生产工艺与污染防治情况</w:t>
      </w:r>
      <w:bookmarkEnd w:id="23"/>
    </w:p>
    <w:p>
      <w:pPr>
        <w:spacing w:line="360" w:lineRule="auto"/>
        <w:ind w:firstLine="482" w:firstLineChars="200"/>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4.3-1各设施生产工艺</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bCs/>
          <w:sz w:val="24"/>
          <w:szCs w:val="24"/>
          <w:lang w:eastAsia="zh-CN"/>
        </w:rPr>
        <w:t>南通利奥化工科技有限公司</w:t>
      </w:r>
      <w:r>
        <w:rPr>
          <w:rFonts w:ascii="Times New Roman" w:hAnsi="Times New Roman" w:eastAsia="宋体" w:cs="Times New Roman"/>
          <w:sz w:val="24"/>
          <w:szCs w:val="24"/>
        </w:rPr>
        <w:t>各生产线的工艺说明及流程如下：</w:t>
      </w:r>
    </w:p>
    <w:p>
      <w:pPr>
        <w:pStyle w:val="33"/>
        <w:numPr>
          <w:ilvl w:val="0"/>
          <w:numId w:val="5"/>
        </w:numPr>
        <w:spacing w:line="360" w:lineRule="auto"/>
        <w:ind w:firstLineChars="0"/>
        <w:rPr>
          <w:rFonts w:ascii="Times New Roman" w:hAnsi="Times New Roman" w:eastAsia="宋体" w:cs="Times New Roman"/>
          <w:b/>
          <w:sz w:val="24"/>
          <w:szCs w:val="24"/>
        </w:rPr>
      </w:pPr>
      <w:r>
        <w:rPr>
          <w:rFonts w:hint="eastAsia" w:ascii="Times New Roman" w:hAnsi="Times New Roman" w:eastAsia="宋体" w:cs="Times New Roman"/>
          <w:b/>
          <w:sz w:val="24"/>
          <w:szCs w:val="24"/>
        </w:rPr>
        <w:t>二氯频哪酮生产工艺</w:t>
      </w:r>
    </w:p>
    <w:p>
      <w:pPr>
        <w:pStyle w:val="7"/>
        <w:spacing w:line="460" w:lineRule="atLeast"/>
        <w:ind w:firstLine="0"/>
        <w:rPr>
          <w:rFonts w:hint="eastAsia" w:ascii="Times New Roman" w:hAnsi="Times New Roman" w:eastAsia="宋体"/>
          <w:lang w:val="en-US" w:eastAsia="zh-CN"/>
        </w:rPr>
      </w:pPr>
      <w:r>
        <w:rPr>
          <w:rFonts w:hint="eastAsia" w:ascii="Times New Roman" w:hAnsi="Times New Roman" w:eastAsia="宋体"/>
          <w:sz w:val="24"/>
        </w:rPr>
        <w:t>工艺流程图及工艺说明</w:t>
      </w:r>
      <w:r>
        <w:rPr>
          <w:rFonts w:hint="eastAsia" w:ascii="Times New Roman" w:hAnsi="Times New Roman" w:eastAsia="宋体"/>
          <w:sz w:val="24"/>
          <w:lang w:val="en-US" w:eastAsia="zh-CN"/>
        </w:rPr>
        <w:t>:</w:t>
      </w:r>
    </w:p>
    <w:p>
      <w:pPr>
        <w:spacing w:line="360" w:lineRule="auto"/>
        <w:ind w:firstLine="480" w:firstLineChars="200"/>
        <w:rPr>
          <w:rFonts w:ascii="Times New Roman" w:hAnsi="Times New Roman" w:eastAsia="宋体"/>
          <w:bCs/>
          <w:sz w:val="24"/>
          <w:szCs w:val="24"/>
        </w:rPr>
      </w:pPr>
      <w:r>
        <w:rPr>
          <w:rFonts w:ascii="Times New Roman" w:hAnsi="Times New Roman" w:eastAsia="宋体"/>
          <w:bCs/>
          <w:sz w:val="24"/>
          <w:szCs w:val="24"/>
        </w:rPr>
        <w:t>氯化：将频哪酮泵入通氯反应釜，使用蒸汽夹套将温度保持在40℃，用铜管将氯气钢瓶与缓冲罐连接好，启动反应釜搅拌，打开阀门，并检查流量计中的钻子是否上浮，用氨水检测是否泄露，氯气经缓冲罐通入通氯反应釜中反应40小时后即得二氯频哪酮，建设项目设置通氯反应釜12只，每台3000L,每三台为一组，四组同时运行，</w:t>
      </w:r>
      <w:r>
        <w:rPr>
          <w:rFonts w:hint="eastAsia" w:ascii="Times New Roman" w:hAnsi="Times New Roman" w:eastAsia="宋体"/>
          <w:bCs/>
          <w:sz w:val="24"/>
          <w:szCs w:val="24"/>
        </w:rPr>
        <w:t>通氯为连续过程，氯气缓慢通入氯化釜，连续排放；排放</w:t>
      </w:r>
      <w:r>
        <w:rPr>
          <w:rFonts w:ascii="Times New Roman" w:hAnsi="Times New Roman" w:eastAsia="宋体"/>
          <w:bCs/>
          <w:sz w:val="24"/>
          <w:szCs w:val="24"/>
        </w:rPr>
        <w:t>的氯化氢和氯气经降膜吸收后作为副产品外卖。</w:t>
      </w:r>
    </w:p>
    <w:p>
      <w:pPr>
        <w:autoSpaceDE w:val="0"/>
        <w:autoSpaceDN w:val="0"/>
        <w:adjustRightInd w:val="0"/>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bCs/>
          <w:sz w:val="24"/>
          <w:szCs w:val="24"/>
        </w:rPr>
        <w:t>水洗：反应完毕后，经放空阀加水，开启搅拌，蒸汽升温至50℃后关闭搅拌，静止20分钟后放料至切片工段成品釜，经切片机切片得成品。分离的废水回用于HCl气体吸收</w:t>
      </w:r>
      <w:r>
        <w:rPr>
          <w:rFonts w:hint="eastAsia" w:ascii="Times New Roman" w:hAnsi="Times New Roman" w:eastAsia="宋体" w:cs="宋体"/>
          <w:kern w:val="0"/>
          <w:sz w:val="24"/>
          <w:szCs w:val="24"/>
          <w:lang w:eastAsia="zh-CN"/>
        </w:rPr>
        <w:t>。</w:t>
      </w:r>
      <w:r>
        <w:rPr>
          <w:rFonts w:hint="eastAsia" w:ascii="Times New Roman" w:hAnsi="Times New Roman" w:eastAsia="宋体" w:cs="宋体"/>
          <w:kern w:val="0"/>
          <w:sz w:val="24"/>
          <w:szCs w:val="24"/>
        </w:rPr>
        <w:t>整体工艺流程及产污环节见图</w:t>
      </w:r>
      <w:r>
        <w:rPr>
          <w:rFonts w:hint="eastAsia" w:ascii="Times New Roman" w:hAnsi="Times New Roman" w:eastAsia="宋体" w:cs="宋体"/>
          <w:kern w:val="0"/>
          <w:sz w:val="24"/>
          <w:szCs w:val="24"/>
          <w:lang w:val="en-US" w:eastAsia="zh-CN"/>
        </w:rPr>
        <w:t>4.3</w:t>
      </w:r>
      <w:r>
        <w:rPr>
          <w:rFonts w:hint="eastAsia" w:ascii="Times New Roman" w:hAnsi="Times New Roman" w:eastAsia="宋体" w:cs="宋体"/>
          <w:kern w:val="0"/>
          <w:sz w:val="24"/>
          <w:szCs w:val="24"/>
        </w:rPr>
        <w:t>-</w:t>
      </w:r>
      <w:r>
        <w:rPr>
          <w:rFonts w:ascii="Times New Roman" w:hAnsi="Times New Roman" w:eastAsia="宋体" w:cs="宋体"/>
          <w:kern w:val="0"/>
          <w:sz w:val="24"/>
          <w:szCs w:val="24"/>
        </w:rPr>
        <w:t>1</w:t>
      </w:r>
      <w:r>
        <w:rPr>
          <w:rFonts w:hint="eastAsia" w:ascii="Times New Roman" w:hAnsi="Times New Roman" w:eastAsia="宋体" w:cs="宋体"/>
          <w:kern w:val="0"/>
          <w:sz w:val="24"/>
          <w:szCs w:val="24"/>
        </w:rPr>
        <w:t>。</w:t>
      </w:r>
    </w:p>
    <w:p>
      <w:pPr>
        <w:spacing w:line="360" w:lineRule="auto"/>
        <w:jc w:val="center"/>
        <w:rPr>
          <w:rFonts w:ascii="Times New Roman" w:hAnsi="Times New Roman" w:eastAsia="宋体" w:cs="Times New Roman"/>
          <w:b/>
          <w:sz w:val="24"/>
          <w:szCs w:val="24"/>
        </w:rPr>
      </w:pPr>
      <w:r>
        <w:rPr>
          <w:rFonts w:ascii="Times New Roman" w:hAnsi="Times New Roman" w:eastAsia="宋体"/>
        </w:rPr>
        <w:drawing>
          <wp:inline distT="0" distB="0" distL="114300" distR="114300">
            <wp:extent cx="4572000" cy="2428875"/>
            <wp:effectExtent l="0" t="0" r="0"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5"/>
                    <a:stretch>
                      <a:fillRect/>
                    </a:stretch>
                  </pic:blipFill>
                  <pic:spPr>
                    <a:xfrm>
                      <a:off x="0" y="0"/>
                      <a:ext cx="4572000" cy="2428875"/>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4.3</w:t>
      </w:r>
      <w:r>
        <w:rPr>
          <w:rFonts w:ascii="Times New Roman" w:hAnsi="Times New Roman" w:eastAsia="宋体" w:cs="Times New Roman"/>
          <w:b/>
          <w:sz w:val="24"/>
          <w:szCs w:val="24"/>
        </w:rPr>
        <w:t>-1</w:t>
      </w:r>
      <w:r>
        <w:rPr>
          <w:rFonts w:hint="eastAsia" w:ascii="Times New Roman" w:hAnsi="Times New Roman" w:eastAsia="宋体" w:cs="Times New Roman"/>
          <w:b/>
          <w:sz w:val="24"/>
          <w:szCs w:val="24"/>
        </w:rPr>
        <w:t>二氯频哪酮工艺流程及产污环节图</w:t>
      </w:r>
    </w:p>
    <w:p>
      <w:pPr>
        <w:spacing w:line="360" w:lineRule="auto"/>
        <w:ind w:firstLine="482" w:firstLineChars="200"/>
        <w:rPr>
          <w:rFonts w:hint="eastAsia" w:ascii="Times New Roman" w:hAnsi="Times New Roman" w:eastAsia="宋体" w:cs="Times New Roman"/>
          <w:b/>
          <w:sz w:val="24"/>
          <w:szCs w:val="24"/>
          <w:lang w:val="en-US" w:eastAsia="zh-CN"/>
        </w:rPr>
      </w:pPr>
      <w:r>
        <w:rPr>
          <w:rFonts w:ascii="Times New Roman" w:hAnsi="Times New Roman" w:eastAsia="宋体" w:cs="Times New Roman"/>
          <w:b/>
          <w:sz w:val="24"/>
          <w:szCs w:val="24"/>
        </w:rPr>
        <w:t>2</w:t>
      </w:r>
      <w:r>
        <w:rPr>
          <w:rFonts w:hint="eastAsia" w:ascii="Times New Roman" w:hAnsi="Times New Roman" w:eastAsia="宋体" w:cs="Times New Roman"/>
          <w:b/>
          <w:sz w:val="24"/>
          <w:szCs w:val="24"/>
        </w:rPr>
        <w:t>．</w:t>
      </w:r>
      <w:r>
        <w:rPr>
          <w:rFonts w:ascii="Times New Roman" w:hAnsi="Times New Roman" w:eastAsia="宋体"/>
          <w:b/>
          <w:sz w:val="24"/>
          <w:szCs w:val="24"/>
        </w:rPr>
        <w:t>氯化苄</w:t>
      </w:r>
      <w:r>
        <w:rPr>
          <w:rFonts w:hint="eastAsia" w:ascii="Times New Roman" w:hAnsi="Times New Roman" w:eastAsia="宋体" w:cs="Times New Roman"/>
          <w:b/>
          <w:sz w:val="24"/>
          <w:szCs w:val="24"/>
          <w:lang w:val="en-US" w:eastAsia="zh-CN"/>
        </w:rPr>
        <w:t>生产工艺</w:t>
      </w:r>
    </w:p>
    <w:p>
      <w:pPr>
        <w:pStyle w:val="41"/>
        <w:spacing w:line="480" w:lineRule="exact"/>
        <w:rPr>
          <w:rFonts w:hint="eastAsia" w:ascii="Times New Roman" w:hAnsi="Times New Roman" w:eastAsia="宋体"/>
          <w:lang w:eastAsia="zh-CN"/>
        </w:rPr>
      </w:pPr>
      <w:r>
        <w:rPr>
          <w:rFonts w:hint="eastAsia" w:ascii="Times New Roman" w:hAnsi="Times New Roman" w:eastAsia="宋体"/>
          <w:bCs w:val="0"/>
          <w:shadow w:val="0"/>
          <w:kern w:val="2"/>
          <w:sz w:val="24"/>
          <w:szCs w:val="24"/>
        </w:rPr>
        <w:t>工艺流程图及工艺说明</w:t>
      </w:r>
      <w:r>
        <w:rPr>
          <w:rFonts w:hint="eastAsia" w:ascii="Times New Roman" w:hAnsi="Times New Roman" w:eastAsia="宋体"/>
          <w:bCs w:val="0"/>
          <w:shadow w:val="0"/>
          <w:kern w:val="2"/>
          <w:sz w:val="24"/>
          <w:szCs w:val="24"/>
          <w:lang w:eastAsia="zh-CN"/>
        </w:rPr>
        <w:t>：</w:t>
      </w:r>
    </w:p>
    <w:p>
      <w:pPr>
        <w:spacing w:line="360" w:lineRule="auto"/>
        <w:ind w:firstLine="480" w:firstLineChars="200"/>
        <w:rPr>
          <w:rFonts w:ascii="Times New Roman" w:hAnsi="Times New Roman" w:eastAsia="宋体"/>
        </w:rPr>
      </w:pPr>
      <w:r>
        <w:rPr>
          <w:rFonts w:hint="eastAsia" w:ascii="Times New Roman" w:hAnsi="Times New Roman" w:eastAsia="宋体"/>
          <w:sz w:val="24"/>
          <w:lang w:eastAsia="zh-CN"/>
        </w:rPr>
        <w:t>在氯化反应釜中加入经流量计控制的甲苯，用0.6MPa蒸汽间接加热升温到90℃，再加入催化剂BPO，通入氯气进行氯化反应。氯化为放热反应，利用反应热维持反应温度在95～105℃。用GC中控分析，控制通氯量，使二氯苄在1.5%以内即为反应终点。得到的反应液为甲苯、一氯苄和少量二氯苄的混合物。通过减压精馏分别收集甲苯、一氯苄和二氯苄三组份，甲苯做为原料套用，一氯苄成品包装，二氯苄半成品包装。反应尾气为氯化氢气体和微量未反应的氯气，在氯化过程中连续排放，氯化停止其尾气吸收也停止；精馏过程会产生少量精馏废气，主要为氯化苄、二氯苄等。</w:t>
      </w:r>
      <w:r>
        <w:rPr>
          <w:rFonts w:hint="eastAsia" w:ascii="Times New Roman" w:hAnsi="Times New Roman" w:eastAsia="宋体" w:cs="宋体"/>
          <w:kern w:val="0"/>
          <w:sz w:val="24"/>
          <w:szCs w:val="24"/>
        </w:rPr>
        <w:t>整体工艺流程及产污环节见图</w:t>
      </w:r>
      <w:r>
        <w:rPr>
          <w:rFonts w:hint="eastAsia" w:ascii="Times New Roman" w:hAnsi="Times New Roman" w:eastAsia="宋体" w:cs="宋体"/>
          <w:kern w:val="0"/>
          <w:sz w:val="24"/>
          <w:szCs w:val="24"/>
          <w:lang w:val="en-US" w:eastAsia="zh-CN"/>
        </w:rPr>
        <w:t>4.3</w:t>
      </w:r>
      <w:r>
        <w:rPr>
          <w:rFonts w:hint="eastAsia" w:ascii="Times New Roman" w:hAnsi="Times New Roman" w:eastAsia="宋体" w:cs="宋体"/>
          <w:kern w:val="0"/>
          <w:sz w:val="24"/>
          <w:szCs w:val="24"/>
        </w:rPr>
        <w:t>-</w:t>
      </w:r>
      <w:r>
        <w:rPr>
          <w:rFonts w:ascii="Times New Roman" w:hAnsi="Times New Roman" w:eastAsia="宋体" w:cs="宋体"/>
          <w:kern w:val="0"/>
          <w:sz w:val="24"/>
          <w:szCs w:val="24"/>
        </w:rPr>
        <w:t>2</w:t>
      </w:r>
      <w:r>
        <w:rPr>
          <w:rFonts w:hint="eastAsia" w:ascii="Times New Roman" w:hAnsi="Times New Roman" w:eastAsia="宋体" w:cs="宋体"/>
          <w:kern w:val="0"/>
          <w:sz w:val="24"/>
          <w:szCs w:val="24"/>
        </w:rPr>
        <w:t>。</w:t>
      </w:r>
    </w:p>
    <w:p>
      <w:pPr>
        <w:pStyle w:val="2"/>
        <w:jc w:val="center"/>
        <w:rPr>
          <w:rFonts w:ascii="Times New Roman" w:hAnsi="Times New Roman" w:eastAsia="宋体"/>
        </w:rPr>
      </w:pPr>
      <w:r>
        <w:rPr>
          <w:rFonts w:ascii="Times New Roman" w:hAnsi="Times New Roman" w:eastAsia="宋体"/>
        </w:rPr>
        <w:drawing>
          <wp:inline distT="0" distB="0" distL="114300" distR="114300">
            <wp:extent cx="5172075" cy="1676400"/>
            <wp:effectExtent l="0" t="0" r="9525"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6"/>
                    <a:stretch>
                      <a:fillRect/>
                    </a:stretch>
                  </pic:blipFill>
                  <pic:spPr>
                    <a:xfrm>
                      <a:off x="0" y="0"/>
                      <a:ext cx="5172075" cy="1676400"/>
                    </a:xfrm>
                    <a:prstGeom prst="rect">
                      <a:avLst/>
                    </a:prstGeom>
                    <a:noFill/>
                    <a:ln>
                      <a:noFill/>
                    </a:ln>
                  </pic:spPr>
                </pic:pic>
              </a:graphicData>
            </a:graphic>
          </wp:inline>
        </w:drawing>
      </w:r>
    </w:p>
    <w:p>
      <w:pPr>
        <w:spacing w:line="360" w:lineRule="auto"/>
        <w:ind w:firstLine="482" w:firstLineChars="200"/>
        <w:jc w:val="center"/>
        <w:rPr>
          <w:rFonts w:ascii="Times New Roman" w:hAnsi="Times New Roman" w:eastAsia="宋体" w:cs="Times New Roman"/>
          <w:b/>
          <w:sz w:val="24"/>
          <w:szCs w:val="24"/>
        </w:rPr>
      </w:pPr>
      <w:r>
        <w:rPr>
          <w:rFonts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4.3</w:t>
      </w:r>
      <w:r>
        <w:rPr>
          <w:rFonts w:ascii="Times New Roman" w:hAnsi="Times New Roman" w:eastAsia="宋体" w:cs="Times New Roman"/>
          <w:b/>
          <w:sz w:val="24"/>
          <w:szCs w:val="24"/>
        </w:rPr>
        <w:t>-2</w:t>
      </w:r>
      <w:r>
        <w:rPr>
          <w:rFonts w:ascii="Times New Roman" w:hAnsi="Times New Roman" w:eastAsia="宋体"/>
          <w:b/>
          <w:sz w:val="24"/>
          <w:szCs w:val="24"/>
        </w:rPr>
        <w:t>氯化苄</w:t>
      </w:r>
      <w:r>
        <w:rPr>
          <w:rFonts w:hint="eastAsia" w:ascii="Times New Roman" w:hAnsi="Times New Roman" w:eastAsia="宋体" w:cs="Times New Roman"/>
          <w:b/>
          <w:sz w:val="24"/>
          <w:szCs w:val="24"/>
        </w:rPr>
        <w:t>工艺流程及产污环节图</w:t>
      </w:r>
    </w:p>
    <w:p>
      <w:pPr>
        <w:spacing w:line="360" w:lineRule="auto"/>
        <w:ind w:firstLine="482" w:firstLineChars="200"/>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3</w:t>
      </w:r>
      <w:r>
        <w:rPr>
          <w:rFonts w:hint="eastAsia" w:ascii="Times New Roman" w:hAnsi="Times New Roman" w:eastAsia="宋体" w:cs="Times New Roman"/>
          <w:b/>
          <w:sz w:val="24"/>
          <w:szCs w:val="24"/>
        </w:rPr>
        <w:t>．3,5二氯苯甲酰氯联产苯甲酰氯、三氯苯</w:t>
      </w:r>
      <w:r>
        <w:rPr>
          <w:rFonts w:hint="eastAsia" w:ascii="Times New Roman" w:hAnsi="Times New Roman" w:eastAsia="宋体" w:cs="Times New Roman"/>
          <w:b/>
          <w:sz w:val="24"/>
          <w:szCs w:val="24"/>
          <w:lang w:val="en-US" w:eastAsia="zh-CN"/>
        </w:rPr>
        <w:t>生产工艺</w:t>
      </w:r>
    </w:p>
    <w:p>
      <w:pPr>
        <w:autoSpaceDE w:val="0"/>
        <w:autoSpaceDN w:val="0"/>
        <w:adjustRightInd w:val="0"/>
        <w:spacing w:line="360" w:lineRule="auto"/>
        <w:jc w:val="left"/>
        <w:rPr>
          <w:rFonts w:hint="eastAsia" w:ascii="Times New Roman" w:hAnsi="Times New Roman" w:eastAsia="宋体"/>
          <w:bCs w:val="0"/>
          <w:shadow w:val="0"/>
          <w:kern w:val="2"/>
          <w:sz w:val="24"/>
          <w:szCs w:val="24"/>
          <w:lang w:eastAsia="zh-CN"/>
        </w:rPr>
      </w:pPr>
      <w:r>
        <w:rPr>
          <w:rFonts w:hint="eastAsia" w:ascii="Times New Roman" w:hAnsi="Times New Roman" w:eastAsia="宋体"/>
          <w:bCs w:val="0"/>
          <w:shadow w:val="0"/>
          <w:kern w:val="2"/>
          <w:sz w:val="24"/>
          <w:szCs w:val="24"/>
          <w:lang w:eastAsia="zh-CN"/>
        </w:rPr>
        <w:t>（</w:t>
      </w:r>
      <w:r>
        <w:rPr>
          <w:rFonts w:hint="eastAsia" w:ascii="Times New Roman" w:hAnsi="Times New Roman" w:eastAsia="宋体"/>
          <w:bCs w:val="0"/>
          <w:shadow w:val="0"/>
          <w:kern w:val="2"/>
          <w:sz w:val="24"/>
          <w:szCs w:val="24"/>
          <w:lang w:val="en-US" w:eastAsia="zh-CN"/>
        </w:rPr>
        <w:t>1</w:t>
      </w:r>
      <w:r>
        <w:rPr>
          <w:rFonts w:hint="eastAsia" w:ascii="Times New Roman" w:hAnsi="Times New Roman" w:eastAsia="宋体"/>
          <w:bCs w:val="0"/>
          <w:shadow w:val="0"/>
          <w:kern w:val="2"/>
          <w:sz w:val="24"/>
          <w:szCs w:val="24"/>
          <w:lang w:eastAsia="zh-CN"/>
        </w:rPr>
        <w:t>）</w:t>
      </w:r>
      <w:r>
        <w:rPr>
          <w:rFonts w:hint="eastAsia" w:ascii="Times New Roman" w:hAnsi="Times New Roman" w:eastAsia="宋体"/>
          <w:bCs w:val="0"/>
          <w:shadow w:val="0"/>
          <w:kern w:val="2"/>
          <w:sz w:val="24"/>
          <w:szCs w:val="24"/>
        </w:rPr>
        <w:t>工艺流程</w:t>
      </w:r>
      <w:r>
        <w:rPr>
          <w:rFonts w:hint="eastAsia" w:ascii="Times New Roman" w:hAnsi="Times New Roman" w:eastAsia="宋体"/>
          <w:bCs w:val="0"/>
          <w:shadow w:val="0"/>
          <w:kern w:val="2"/>
          <w:sz w:val="24"/>
          <w:szCs w:val="24"/>
          <w:lang w:eastAsia="zh-CN"/>
        </w:rPr>
        <w:t>：</w:t>
      </w:r>
    </w:p>
    <w:p>
      <w:pPr>
        <w:spacing w:line="360" w:lineRule="auto"/>
        <w:ind w:firstLine="480" w:firstLineChars="200"/>
        <w:rPr>
          <w:rFonts w:ascii="Times New Roman" w:hAnsi="Times New Roman" w:eastAsia="宋体"/>
          <w:sz w:val="24"/>
        </w:rPr>
      </w:pPr>
      <w:r>
        <w:rPr>
          <w:rFonts w:ascii="Times New Roman" w:hAnsi="Times New Roman" w:eastAsia="宋体"/>
          <w:kern w:val="0"/>
          <w:sz w:val="24"/>
        </w:rPr>
        <w:t>3,5-二氯苯甲酰氯联产苯甲酰氯、三氯苯，主要是利用三氯苄、间苯二甲酸、氯气等经过合成、氯化、粗蒸、精馏等工段得最终产物。其主要反应方程式如下：</w:t>
      </w:r>
    </w:p>
    <w:p>
      <w:pPr>
        <w:spacing w:line="360" w:lineRule="auto"/>
        <w:ind w:firstLine="480" w:firstLineChars="200"/>
        <w:rPr>
          <w:rFonts w:hint="eastAsia" w:ascii="Times New Roman" w:hAnsi="Times New Roman" w:eastAsia="宋体"/>
          <w:kern w:val="0"/>
          <w:sz w:val="24"/>
        </w:rPr>
      </w:pPr>
      <w:r>
        <w:rPr>
          <w:rFonts w:ascii="Times New Roman" w:hAnsi="Times New Roman" w:eastAsia="宋体"/>
          <w:kern w:val="0"/>
          <w:sz w:val="24"/>
        </w:rPr>
        <w:t>主反应：</w:t>
      </w:r>
      <w:r>
        <w:rPr>
          <w:rFonts w:hint="eastAsia" w:ascii="Times New Roman" w:hAnsi="Times New Roman" w:eastAsia="宋体"/>
          <w:kern w:val="0"/>
          <w:sz w:val="24"/>
        </w:rPr>
        <w:t>项目最终收率以3,5-二氯苯甲酰氯产品计为84.8%。</w:t>
      </w:r>
    </w:p>
    <w:p>
      <w:pPr>
        <w:spacing w:line="360" w:lineRule="auto"/>
        <w:ind w:firstLine="480" w:firstLineChars="200"/>
        <w:outlineLvl w:val="9"/>
        <w:rPr>
          <w:rFonts w:hint="eastAsia" w:ascii="Times New Roman" w:hAnsi="Times New Roman" w:eastAsia="宋体"/>
          <w:kern w:val="0"/>
          <w:sz w:val="24"/>
        </w:rPr>
      </w:pPr>
      <w:r>
        <w:rPr>
          <w:rFonts w:hint="eastAsia" w:ascii="Times New Roman" w:hAnsi="Times New Roman" w:eastAsia="宋体"/>
          <w:kern w:val="0"/>
          <w:sz w:val="24"/>
        </w:rPr>
        <w:t>①合成：以三氯苄计转化率为97%</w:t>
      </w:r>
    </w:p>
    <w:p>
      <w:pPr>
        <w:spacing w:line="360" w:lineRule="auto"/>
        <w:ind w:firstLine="480" w:firstLineChars="200"/>
        <w:rPr>
          <w:rFonts w:ascii="Times New Roman" w:hAnsi="Times New Roman" w:eastAsia="宋体"/>
        </w:rPr>
      </w:pPr>
      <w:r>
        <w:rPr>
          <w:rFonts w:ascii="Times New Roman" w:hAnsi="Times New Roman" w:eastAsia="宋体"/>
          <w:sz w:val="24"/>
        </w:rPr>
        <w:pict>
          <v:rect id="_x0000_s1246" o:spid="_x0000_s1246" o:spt="1" style="position:absolute;left:0pt;margin-left:189pt;margin-top:39.05pt;height:31.2pt;width:63pt;z-index:251672576;mso-width-relative:page;mso-height-relative:page;" filled="f" stroked="f" coordsize="21600,21600">
            <v:path/>
            <v:fill on="f" focussize="0,0"/>
            <v:stroke on="f"/>
            <v:imagedata o:title=""/>
            <o:lock v:ext="edit"/>
            <v:textbox>
              <w:txbxContent>
                <w:p>
                  <w:pPr>
                    <w:rPr>
                      <w:rFonts w:hint="eastAsia"/>
                    </w:rPr>
                  </w:pPr>
                  <w:r>
                    <w:rPr>
                      <w:rFonts w:hint="eastAsia"/>
                    </w:rPr>
                    <w:t>2</w:t>
                  </w:r>
                </w:p>
              </w:txbxContent>
            </v:textbox>
          </v:rect>
        </w:pict>
      </w:r>
      <w:r>
        <w:rPr>
          <w:rFonts w:ascii="Times New Roman" w:hAnsi="Times New Roman" w:eastAsia="宋体"/>
          <w:sz w:val="24"/>
        </w:rPr>
        <w:pict>
          <v:rect id="_x0000_s1247" o:spid="_x0000_s1247" o:spt="1" style="position:absolute;left:0pt;margin-left:1.2pt;margin-top:39.3pt;height:31.2pt;width:63pt;z-index:251668480;mso-width-relative:page;mso-height-relative:page;" filled="f" stroked="f" coordsize="21600,21600">
            <v:path/>
            <v:fill on="f" focussize="0,0"/>
            <v:stroke on="f"/>
            <v:imagedata o:title=""/>
            <o:lock v:ext="edit"/>
            <v:textbox>
              <w:txbxContent>
                <w:p>
                  <w:pPr>
                    <w:rPr>
                      <w:rFonts w:hint="eastAsia"/>
                    </w:rPr>
                  </w:pPr>
                  <w:r>
                    <w:rPr>
                      <w:rFonts w:hint="eastAsia"/>
                    </w:rPr>
                    <w:t>2</w:t>
                  </w:r>
                </w:p>
              </w:txbxContent>
            </v:textbox>
          </v:rect>
        </w:pict>
      </w:r>
      <w:r>
        <w:rPr>
          <w:rFonts w:ascii="Times New Roman" w:hAnsi="Times New Roman" w:eastAsia="宋体"/>
          <w:sz w:val="24"/>
        </w:rPr>
        <w:pict>
          <v:rect id="_x0000_s1248" o:spid="_x0000_s1248" o:spt="1" style="position:absolute;left:0pt;margin-left:340.3pt;margin-top:45.9pt;height:31.2pt;width:45pt;z-index:251669504;mso-width-relative:page;mso-height-relative:page;" filled="f" stroked="f" coordsize="21600,21600">
            <v:path/>
            <v:fill on="f" focussize="0,0"/>
            <v:stroke on="f"/>
            <v:imagedata o:title=""/>
            <o:lock v:ext="edit"/>
            <v:textbox>
              <w:txbxContent>
                <w:p>
                  <w:pPr>
                    <w:rPr>
                      <w:rFonts w:hint="eastAsia"/>
                    </w:rPr>
                  </w:pPr>
                  <w:r>
                    <w:rPr>
                      <w:rFonts w:hint="eastAsia"/>
                    </w:rPr>
                    <w:t>2</w:t>
                  </w:r>
                </w:p>
              </w:txbxContent>
            </v:textbox>
          </v:rect>
        </w:pict>
      </w:r>
      <w:r>
        <w:rPr>
          <w:rFonts w:ascii="Times New Roman" w:hAnsi="Times New Roman" w:eastAsia="宋体"/>
          <w:sz w:val="24"/>
        </w:rPr>
        <w:pict>
          <v:rect id="_x0000_s1249" o:spid="_x0000_s1249" o:spt="1" style="position:absolute;left:0pt;margin-left:153pt;margin-top:27.9pt;height:23.4pt;width:63pt;z-index:251664384;mso-width-relative:page;mso-height-relative:page;" filled="f" stroked="f" coordsize="21600,21600">
            <v:path/>
            <v:fill on="f" focussize="0,0"/>
            <v:stroke on="f"/>
            <v:imagedata o:title=""/>
            <o:lock v:ext="edit"/>
            <v:textbox>
              <w:txbxContent>
                <w:p>
                  <w:pPr>
                    <w:rPr>
                      <w:rFonts w:hint="eastAsia"/>
                    </w:rPr>
                  </w:pPr>
                  <w:r>
                    <w:rPr>
                      <w:rFonts w:hint="eastAsia"/>
                    </w:rPr>
                    <w:t>80℃</w:t>
                  </w:r>
                </w:p>
              </w:txbxContent>
            </v:textbox>
          </v:rect>
        </w:pict>
      </w:r>
      <w:r>
        <w:rPr>
          <w:rFonts w:ascii="Times New Roman" w:hAnsi="Times New Roman" w:eastAsia="宋体"/>
        </w:rPr>
        <w:object>
          <v:shape id="_x0000_i1025" o:spt="75" type="#_x0000_t75" style="height:83.25pt;width:348.75pt;" o:ole="t" filled="f" o:preferrelative="t" stroked="f" coordsize="21600,21600">
            <v:path/>
            <v:fill on="f" alignshape="1" focussize="0,0"/>
            <v:stroke on="f"/>
            <v:imagedata r:id="rId18" grayscale="f" bilevel="f" o:title=""/>
            <o:lock v:ext="edit" aspectratio="t"/>
            <w10:wrap type="none"/>
            <w10:anchorlock/>
          </v:shape>
          <o:OLEObject Type="Embed" ProgID="ChemWindow.Document" ShapeID="_x0000_i1025" DrawAspect="Content" ObjectID="_1468075725" r:id="rId17">
            <o:LockedField>false</o:LockedField>
          </o:OLEObject>
        </w:object>
      </w:r>
    </w:p>
    <w:p>
      <w:pPr>
        <w:spacing w:line="360" w:lineRule="auto"/>
        <w:ind w:firstLine="420" w:firstLineChars="200"/>
        <w:rPr>
          <w:rFonts w:ascii="Times New Roman" w:hAnsi="Times New Roman" w:eastAsia="宋体"/>
        </w:rPr>
      </w:pPr>
      <w:r>
        <w:rPr>
          <w:rFonts w:ascii="Times New Roman" w:hAnsi="Times New Roman" w:eastAsia="宋体"/>
        </w:rPr>
        <w:t>三氯苄      间苯二甲酸            苯甲酰氯      间苯二甲酰氯    氯化氢</w:t>
      </w:r>
    </w:p>
    <w:p>
      <w:pPr>
        <w:spacing w:line="360" w:lineRule="auto"/>
        <w:ind w:firstLine="420" w:firstLineChars="200"/>
        <w:rPr>
          <w:rFonts w:hint="eastAsia" w:ascii="Times New Roman" w:hAnsi="Times New Roman" w:eastAsia="宋体"/>
        </w:rPr>
      </w:pPr>
      <w:r>
        <w:rPr>
          <w:rFonts w:ascii="Times New Roman" w:hAnsi="Times New Roman" w:eastAsia="宋体"/>
        </w:rPr>
        <w:t>391</w:t>
      </w:r>
      <w:r>
        <w:rPr>
          <w:rFonts w:hint="eastAsia" w:ascii="Times New Roman" w:hAnsi="Times New Roman" w:eastAsia="宋体"/>
        </w:rPr>
        <w:t xml:space="preserve">        </w:t>
      </w:r>
      <w:r>
        <w:rPr>
          <w:rFonts w:ascii="Times New Roman" w:hAnsi="Times New Roman" w:eastAsia="宋体"/>
        </w:rPr>
        <w:t xml:space="preserve">  166                    281            203        </w:t>
      </w:r>
      <w:r>
        <w:rPr>
          <w:rFonts w:hint="eastAsia" w:ascii="Times New Roman" w:hAnsi="Times New Roman" w:eastAsia="宋体"/>
        </w:rPr>
        <w:t xml:space="preserve"> </w:t>
      </w:r>
      <w:r>
        <w:rPr>
          <w:rFonts w:ascii="Times New Roman" w:hAnsi="Times New Roman" w:eastAsia="宋体"/>
        </w:rPr>
        <w:t xml:space="preserve"> 73</w:t>
      </w:r>
      <w:r>
        <w:rPr>
          <w:rFonts w:hint="eastAsia" w:ascii="Times New Roman" w:hAnsi="Times New Roman" w:eastAsia="宋体"/>
        </w:rPr>
        <w:t xml:space="preserve"> </w:t>
      </w:r>
    </w:p>
    <w:p>
      <w:pPr>
        <w:spacing w:line="360" w:lineRule="auto"/>
        <w:ind w:firstLine="480" w:firstLineChars="200"/>
        <w:outlineLvl w:val="9"/>
        <w:rPr>
          <w:rFonts w:hint="eastAsia" w:ascii="Times New Roman" w:hAnsi="Times New Roman" w:eastAsia="宋体"/>
          <w:kern w:val="0"/>
          <w:sz w:val="24"/>
        </w:rPr>
      </w:pPr>
      <w:r>
        <w:rPr>
          <w:rFonts w:hint="eastAsia" w:ascii="Times New Roman" w:hAnsi="Times New Roman" w:eastAsia="宋体"/>
          <w:kern w:val="0"/>
          <w:sz w:val="24"/>
        </w:rPr>
        <w:t>②氯化：以间苯二甲酰氯计，转化率95%</w:t>
      </w:r>
    </w:p>
    <w:p>
      <w:pPr>
        <w:spacing w:line="360" w:lineRule="auto"/>
        <w:ind w:firstLine="480" w:firstLineChars="200"/>
        <w:rPr>
          <w:rFonts w:ascii="Times New Roman" w:hAnsi="Times New Roman" w:eastAsia="宋体"/>
        </w:rPr>
      </w:pPr>
      <w:r>
        <w:rPr>
          <w:rFonts w:ascii="Times New Roman" w:hAnsi="Times New Roman" w:eastAsia="宋体"/>
          <w:sz w:val="24"/>
        </w:rPr>
        <w:pict>
          <v:rect id="_x0000_s1250" o:spid="_x0000_s1250" o:spt="1" style="position:absolute;left:0pt;margin-left:126pt;margin-top:30.55pt;height:23.4pt;width:63pt;z-index:251665408;mso-width-relative:page;mso-height-relative:page;" filled="f" stroked="f" coordsize="21600,21600">
            <v:path/>
            <v:fill on="f" focussize="0,0"/>
            <v:stroke on="f"/>
            <v:imagedata o:title=""/>
            <o:lock v:ext="edit"/>
            <v:textbox>
              <w:txbxContent>
                <w:p>
                  <w:pPr>
                    <w:rPr>
                      <w:rFonts w:hint="eastAsia"/>
                    </w:rPr>
                  </w:pPr>
                  <w:r>
                    <w:rPr>
                      <w:rFonts w:hint="eastAsia"/>
                    </w:rPr>
                    <w:t>80℃</w:t>
                  </w:r>
                </w:p>
              </w:txbxContent>
            </v:textbox>
          </v:rect>
        </w:pict>
      </w:r>
      <w:r>
        <w:rPr>
          <w:rFonts w:ascii="Times New Roman" w:hAnsi="Times New Roman" w:eastAsia="宋体"/>
        </w:rPr>
        <w:object>
          <v:shape id="_x0000_i1026" o:spt="75" type="#_x0000_t75" style="height:90pt;width:267.75pt;" o:ole="t" filled="f" stroked="f" coordsize="21600,21600">
            <v:path/>
            <v:fill on="f" focussize="0,0"/>
            <v:stroke on="f"/>
            <v:imagedata r:id="rId20" o:title=""/>
            <o:lock v:ext="edit" aspectratio="t"/>
            <w10:wrap type="none"/>
            <w10:anchorlock/>
          </v:shape>
          <o:OLEObject Type="Embed" ProgID="ChemWindow.Document" ShapeID="_x0000_i1026" DrawAspect="Content" ObjectID="_1468075726" r:id="rId19">
            <o:LockedField>false</o:LockedField>
          </o:OLEObject>
        </w:object>
      </w:r>
    </w:p>
    <w:p>
      <w:pPr>
        <w:spacing w:line="360" w:lineRule="auto"/>
        <w:ind w:firstLine="420" w:firstLineChars="200"/>
        <w:rPr>
          <w:rFonts w:ascii="Times New Roman" w:hAnsi="Times New Roman" w:eastAsia="宋体"/>
        </w:rPr>
      </w:pPr>
      <w:r>
        <w:rPr>
          <w:rFonts w:ascii="Times New Roman" w:hAnsi="Times New Roman" w:eastAsia="宋体"/>
        </w:rPr>
        <w:t>间苯二甲酰氯     氯气         5-氯间苯二甲酰氯   氯化氢</w:t>
      </w:r>
    </w:p>
    <w:p>
      <w:pPr>
        <w:spacing w:line="360" w:lineRule="auto"/>
        <w:ind w:firstLine="735" w:firstLineChars="350"/>
        <w:rPr>
          <w:rFonts w:hint="eastAsia" w:ascii="Times New Roman" w:hAnsi="Times New Roman" w:eastAsia="宋体"/>
        </w:rPr>
      </w:pPr>
      <w:r>
        <w:rPr>
          <w:rFonts w:ascii="Times New Roman" w:hAnsi="Times New Roman" w:eastAsia="宋体"/>
        </w:rPr>
        <w:t>203          71                237.5          36.5</w:t>
      </w:r>
    </w:p>
    <w:p>
      <w:pPr>
        <w:spacing w:line="360" w:lineRule="auto"/>
        <w:ind w:firstLine="480" w:firstLineChars="200"/>
        <w:outlineLvl w:val="9"/>
        <w:rPr>
          <w:rFonts w:hint="eastAsia" w:ascii="Times New Roman" w:hAnsi="Times New Roman" w:eastAsia="宋体"/>
          <w:kern w:val="0"/>
          <w:sz w:val="24"/>
        </w:rPr>
      </w:pPr>
      <w:r>
        <w:rPr>
          <w:rFonts w:hint="eastAsia" w:ascii="Times New Roman" w:hAnsi="Times New Roman" w:eastAsia="宋体"/>
          <w:kern w:val="0"/>
          <w:sz w:val="24"/>
        </w:rPr>
        <w:t>③催化重排：以5-氯间苯二甲酰氯计，转化率97%</w:t>
      </w:r>
    </w:p>
    <w:p>
      <w:pPr>
        <w:spacing w:line="360" w:lineRule="auto"/>
        <w:ind w:firstLine="480" w:firstLineChars="200"/>
        <w:rPr>
          <w:rFonts w:ascii="Times New Roman" w:hAnsi="Times New Roman" w:eastAsia="宋体"/>
        </w:rPr>
      </w:pPr>
      <w:r>
        <w:rPr>
          <w:rFonts w:ascii="Times New Roman" w:hAnsi="Times New Roman" w:eastAsia="宋体"/>
          <w:sz w:val="24"/>
        </w:rPr>
        <w:pict>
          <v:rect id="_x0000_s1251" o:spid="_x0000_s1251" o:spt="1" style="position:absolute;left:0pt;margin-left:103.65pt;margin-top:26pt;height:23.4pt;width:63pt;z-index:251671552;mso-width-relative:page;mso-height-relative:page;" filled="f" stroked="f" coordsize="21600,21600">
            <v:path/>
            <v:fill on="f" focussize="0,0"/>
            <v:stroke on="f"/>
            <v:imagedata o:title=""/>
            <o:lock v:ext="edit"/>
            <v:textbox>
              <w:txbxContent>
                <w:p>
                  <w:pPr>
                    <w:rPr>
                      <w:rFonts w:hint="eastAsia"/>
                    </w:rPr>
                  </w:pPr>
                  <w:r>
                    <w:rPr>
                      <w:rFonts w:hint="eastAsia"/>
                    </w:rPr>
                    <w:t>250℃</w:t>
                  </w:r>
                </w:p>
              </w:txbxContent>
            </v:textbox>
          </v:rect>
        </w:pict>
      </w:r>
      <w:r>
        <w:rPr>
          <w:rFonts w:ascii="Times New Roman" w:hAnsi="Times New Roman" w:eastAsia="宋体"/>
          <w:sz w:val="24"/>
        </w:rPr>
        <w:pict>
          <v:rect id="_x0000_s1252" o:spid="_x0000_s1252" o:spt="1" style="position:absolute;left:0pt;margin-left:219.3pt;margin-top:39.35pt;height:31.2pt;width:72pt;z-index:251670528;mso-width-relative:page;mso-height-relative:page;" filled="f" stroked="f" coordsize="21600,21600">
            <v:path/>
            <v:fill on="f" focussize="0,0"/>
            <v:stroke on="f"/>
            <v:imagedata o:title=""/>
            <o:lock v:ext="edit"/>
            <v:textbox>
              <w:txbxContent>
                <w:p>
                  <w:pPr>
                    <w:rPr>
                      <w:rFonts w:hint="eastAsia"/>
                    </w:rPr>
                  </w:pPr>
                  <w:r>
                    <w:rPr>
                      <w:rFonts w:hint="eastAsia"/>
                    </w:rPr>
                    <w:t xml:space="preserve">   CO</w:t>
                  </w:r>
                </w:p>
              </w:txbxContent>
            </v:textbox>
          </v:rect>
        </w:pict>
      </w:r>
      <w:r>
        <w:rPr>
          <w:rFonts w:ascii="Times New Roman" w:hAnsi="Times New Roman" w:eastAsia="宋体"/>
        </w:rPr>
        <w:object>
          <v:shape id="_x0000_i1027" o:spt="75" type="#_x0000_t75" style="height:88.5pt;width:212.25pt;" o:ole="t" filled="f" o:preferrelative="t" stroked="f" coordsize="21600,21600">
            <v:path/>
            <v:fill on="f" alignshape="1" focussize="0,0"/>
            <v:stroke on="f"/>
            <v:imagedata r:id="rId22" grayscale="f" bilevel="f" o:title=""/>
            <o:lock v:ext="edit" aspectratio="t"/>
            <w10:wrap type="none"/>
            <w10:anchorlock/>
          </v:shape>
          <o:OLEObject Type="Embed" ProgID="ChemWindow.Document" ShapeID="_x0000_i1027" DrawAspect="Content" ObjectID="_1468075727" r:id="rId21">
            <o:LockedField>false</o:LockedField>
          </o:OLEObject>
        </w:object>
      </w:r>
    </w:p>
    <w:p>
      <w:pPr>
        <w:spacing w:line="360" w:lineRule="auto"/>
        <w:ind w:firstLine="420" w:firstLineChars="200"/>
        <w:rPr>
          <w:rFonts w:ascii="Times New Roman" w:hAnsi="Times New Roman" w:eastAsia="宋体"/>
        </w:rPr>
      </w:pPr>
      <w:r>
        <w:rPr>
          <w:rFonts w:ascii="Times New Roman" w:hAnsi="Times New Roman" w:eastAsia="宋体"/>
        </w:rPr>
        <w:t>5-氯间苯二甲酰氯       3,5-二氯苯甲酰氯   一氧化碳</w:t>
      </w:r>
    </w:p>
    <w:p>
      <w:pPr>
        <w:spacing w:line="360" w:lineRule="auto"/>
        <w:ind w:firstLine="840" w:firstLineChars="400"/>
        <w:rPr>
          <w:rFonts w:ascii="Times New Roman" w:hAnsi="Times New Roman" w:eastAsia="宋体"/>
        </w:rPr>
      </w:pPr>
      <w:r>
        <w:rPr>
          <w:rFonts w:ascii="Times New Roman" w:hAnsi="Times New Roman" w:eastAsia="宋体"/>
        </w:rPr>
        <w:t>237.5                    209.5         28</w:t>
      </w:r>
    </w:p>
    <w:p>
      <w:pPr>
        <w:spacing w:line="360" w:lineRule="auto"/>
        <w:ind w:firstLine="480" w:firstLineChars="200"/>
        <w:rPr>
          <w:rFonts w:ascii="Times New Roman" w:hAnsi="Times New Roman" w:eastAsia="宋体"/>
          <w:kern w:val="0"/>
          <w:sz w:val="24"/>
        </w:rPr>
      </w:pPr>
    </w:p>
    <w:p>
      <w:pPr>
        <w:spacing w:line="360" w:lineRule="auto"/>
        <w:ind w:firstLine="480" w:firstLineChars="200"/>
        <w:rPr>
          <w:rFonts w:ascii="Times New Roman" w:hAnsi="Times New Roman" w:eastAsia="宋体"/>
          <w:kern w:val="0"/>
          <w:sz w:val="24"/>
        </w:rPr>
      </w:pPr>
    </w:p>
    <w:p>
      <w:pPr>
        <w:spacing w:line="360" w:lineRule="auto"/>
        <w:ind w:firstLine="480" w:firstLineChars="200"/>
        <w:rPr>
          <w:rFonts w:ascii="Times New Roman" w:hAnsi="Times New Roman" w:eastAsia="宋体"/>
          <w:kern w:val="0"/>
          <w:sz w:val="24"/>
        </w:rPr>
      </w:pPr>
    </w:p>
    <w:p>
      <w:pPr>
        <w:spacing w:line="360" w:lineRule="auto"/>
        <w:ind w:firstLine="480" w:firstLineChars="200"/>
        <w:rPr>
          <w:rFonts w:hint="eastAsia" w:ascii="Times New Roman" w:hAnsi="Times New Roman" w:eastAsia="宋体"/>
          <w:kern w:val="0"/>
          <w:sz w:val="24"/>
        </w:rPr>
      </w:pPr>
      <w:r>
        <w:rPr>
          <w:rFonts w:ascii="Times New Roman" w:hAnsi="Times New Roman" w:eastAsia="宋体"/>
          <w:kern w:val="0"/>
          <w:sz w:val="24"/>
        </w:rPr>
        <w:t>副反应：</w:t>
      </w:r>
    </w:p>
    <w:p>
      <w:pPr>
        <w:spacing w:line="360" w:lineRule="auto"/>
        <w:ind w:firstLine="480" w:firstLineChars="200"/>
        <w:rPr>
          <w:rFonts w:ascii="Times New Roman" w:hAnsi="Times New Roman" w:eastAsia="宋体"/>
        </w:rPr>
      </w:pPr>
      <w:r>
        <w:rPr>
          <w:rFonts w:ascii="Times New Roman" w:hAnsi="Times New Roman" w:eastAsia="宋体"/>
          <w:sz w:val="24"/>
        </w:rPr>
        <w:pict>
          <v:rect id="_x0000_s1253" o:spid="_x0000_s1253" o:spt="1" style="position:absolute;left:0pt;margin-left:234pt;margin-top:39pt;height:31.2pt;width:72pt;z-index:251667456;mso-width-relative:page;mso-height-relative:page;" filled="f" stroked="f" coordsize="21600,21600">
            <v:path/>
            <v:fill on="f" focussize="0,0"/>
            <v:stroke on="f"/>
            <v:imagedata o:title=""/>
            <o:lock v:ext="edit"/>
            <v:textbox>
              <w:txbxContent>
                <w:p>
                  <w:pPr>
                    <w:rPr>
                      <w:rFonts w:hint="eastAsia"/>
                    </w:rPr>
                  </w:pPr>
                  <w:r>
                    <w:rPr>
                      <w:rFonts w:hint="eastAsia"/>
                    </w:rPr>
                    <w:t>+    CO</w:t>
                  </w:r>
                </w:p>
              </w:txbxContent>
            </v:textbox>
          </v:rect>
        </w:pict>
      </w:r>
      <w:r>
        <w:rPr>
          <w:rFonts w:ascii="Times New Roman" w:hAnsi="Times New Roman" w:eastAsia="宋体"/>
          <w:sz w:val="24"/>
        </w:rPr>
        <w:pict>
          <v:rect id="_x0000_s1254" o:spid="_x0000_s1254" o:spt="1" style="position:absolute;left:0pt;margin-left:108pt;margin-top:28.15pt;height:23.4pt;width:63pt;z-index:251666432;mso-width-relative:page;mso-height-relative:page;" filled="f" stroked="f" coordsize="21600,21600">
            <v:path/>
            <v:fill on="f" focussize="0,0"/>
            <v:stroke on="f"/>
            <v:imagedata o:title=""/>
            <o:lock v:ext="edit"/>
            <v:textbox>
              <w:txbxContent>
                <w:p>
                  <w:pPr>
                    <w:rPr>
                      <w:rFonts w:hint="eastAsia"/>
                    </w:rPr>
                  </w:pPr>
                  <w:r>
                    <w:rPr>
                      <w:rFonts w:hint="eastAsia"/>
                    </w:rPr>
                    <w:t>250℃</w:t>
                  </w:r>
                </w:p>
              </w:txbxContent>
            </v:textbox>
          </v:rect>
        </w:pict>
      </w:r>
      <w:r>
        <w:rPr>
          <w:rFonts w:ascii="Times New Roman" w:hAnsi="Times New Roman" w:eastAsia="宋体"/>
        </w:rPr>
        <w:tab/>
      </w:r>
      <w:r>
        <w:rPr>
          <w:rFonts w:ascii="Times New Roman" w:hAnsi="Times New Roman" w:eastAsia="宋体"/>
        </w:rPr>
        <w:object>
          <v:shape id="_x0000_i1028" o:spt="75" type="#_x0000_t75" style="height:91.5pt;width:208.5pt;" o:ole="t" filled="f" o:preferrelative="t" stroked="f" coordsize="21600,21600">
            <v:path/>
            <v:fill on="f" alignshape="1" focussize="0,0"/>
            <v:stroke on="f"/>
            <v:imagedata r:id="rId24" grayscale="f" bilevel="f" o:title=""/>
            <o:lock v:ext="edit" aspectratio="t"/>
            <w10:wrap type="none"/>
            <w10:anchorlock/>
          </v:shape>
          <o:OLEObject Type="Embed" ProgID="ChemWindow.Document" ShapeID="_x0000_i1028" DrawAspect="Content" ObjectID="_1468075728" r:id="rId23">
            <o:LockedField>false</o:LockedField>
          </o:OLEObject>
        </w:object>
      </w:r>
    </w:p>
    <w:p>
      <w:pPr>
        <w:spacing w:line="360" w:lineRule="auto"/>
        <w:ind w:firstLine="945" w:firstLineChars="450"/>
        <w:rPr>
          <w:rFonts w:ascii="Times New Roman" w:hAnsi="Times New Roman" w:eastAsia="宋体"/>
          <w:sz w:val="24"/>
        </w:rPr>
      </w:pPr>
      <w:r>
        <w:rPr>
          <w:rFonts w:ascii="Times New Roman" w:hAnsi="Times New Roman" w:eastAsia="宋体"/>
        </w:rPr>
        <w:t xml:space="preserve">3-,5二氯苯甲酰氯        </w:t>
      </w:r>
      <w:r>
        <w:rPr>
          <w:rFonts w:ascii="Times New Roman" w:hAnsi="Times New Roman" w:eastAsia="宋体"/>
          <w:sz w:val="24"/>
          <w:szCs w:val="24"/>
        </w:rPr>
        <w:t xml:space="preserve"> </w:t>
      </w:r>
      <w:r>
        <w:rPr>
          <w:rFonts w:ascii="Times New Roman" w:hAnsi="Times New Roman" w:eastAsia="宋体"/>
          <w:szCs w:val="21"/>
        </w:rPr>
        <w:t>1,3,5-三氯苯</w:t>
      </w:r>
      <w:r>
        <w:rPr>
          <w:rFonts w:ascii="Times New Roman" w:hAnsi="Times New Roman" w:eastAsia="宋体"/>
        </w:rPr>
        <w:t xml:space="preserve">     一氧化碳</w:t>
      </w:r>
    </w:p>
    <w:p>
      <w:pPr>
        <w:spacing w:line="360" w:lineRule="auto"/>
        <w:ind w:firstLine="480" w:firstLineChars="200"/>
        <w:rPr>
          <w:rFonts w:ascii="Times New Roman" w:hAnsi="Times New Roman" w:eastAsia="宋体"/>
          <w:sz w:val="24"/>
        </w:rPr>
      </w:pPr>
      <w:r>
        <w:rPr>
          <w:rFonts w:ascii="Times New Roman" w:hAnsi="Times New Roman" w:eastAsia="宋体"/>
          <w:sz w:val="24"/>
        </w:rPr>
        <w:t xml:space="preserve"> </w:t>
      </w:r>
      <w:r>
        <w:rPr>
          <w:rFonts w:ascii="Times New Roman" w:hAnsi="Times New Roman" w:eastAsia="宋体"/>
          <w:szCs w:val="21"/>
        </w:rPr>
        <w:t xml:space="preserve">       209.5 </w:t>
      </w:r>
      <w:r>
        <w:rPr>
          <w:rFonts w:ascii="Times New Roman" w:hAnsi="Times New Roman" w:eastAsia="宋体"/>
          <w:sz w:val="24"/>
        </w:rPr>
        <w:t xml:space="preserve">               </w:t>
      </w:r>
      <w:r>
        <w:rPr>
          <w:rFonts w:ascii="Times New Roman" w:hAnsi="Times New Roman" w:eastAsia="宋体"/>
          <w:szCs w:val="21"/>
        </w:rPr>
        <w:t xml:space="preserve">   181.5        28</w:t>
      </w:r>
    </w:p>
    <w:p>
      <w:pPr>
        <w:pStyle w:val="2"/>
        <w:rPr>
          <w:rFonts w:ascii="Times New Roman" w:hAnsi="Times New Roman" w:eastAsia="宋体"/>
        </w:rPr>
      </w:pPr>
      <w:r>
        <w:rPr>
          <w:rFonts w:ascii="Times New Roman" w:hAnsi="Times New Roman" w:eastAsia="宋体"/>
        </w:rPr>
        <w:drawing>
          <wp:inline distT="0" distB="0" distL="114300" distR="114300">
            <wp:extent cx="4219575" cy="5191125"/>
            <wp:effectExtent l="0" t="0" r="9525" b="952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25"/>
                    <a:stretch>
                      <a:fillRect/>
                    </a:stretch>
                  </pic:blipFill>
                  <pic:spPr>
                    <a:xfrm>
                      <a:off x="0" y="0"/>
                      <a:ext cx="4219575" cy="5191125"/>
                    </a:xfrm>
                    <a:prstGeom prst="rect">
                      <a:avLst/>
                    </a:prstGeom>
                    <a:noFill/>
                    <a:ln>
                      <a:noFill/>
                    </a:ln>
                  </pic:spPr>
                </pic:pic>
              </a:graphicData>
            </a:graphic>
          </wp:inline>
        </w:drawing>
      </w:r>
    </w:p>
    <w:p>
      <w:pPr>
        <w:pStyle w:val="2"/>
        <w:jc w:val="center"/>
        <w:rPr>
          <w:rFonts w:hint="eastAsia" w:ascii="Times New Roman" w:hAnsi="Times New Roman" w:eastAsia="宋体"/>
          <w:lang w:eastAsia="zh-CN"/>
        </w:rPr>
      </w:pPr>
      <w:r>
        <w:rPr>
          <w:rFonts w:ascii="Times New Roman" w:hAnsi="Times New Roman" w:eastAsia="宋体" w:cs="Times New Roman"/>
          <w:b/>
          <w:sz w:val="24"/>
          <w:szCs w:val="24"/>
        </w:rPr>
        <w:t>图</w:t>
      </w:r>
      <w:r>
        <w:rPr>
          <w:rFonts w:hint="eastAsia" w:ascii="Times New Roman" w:hAnsi="Times New Roman" w:eastAsia="宋体" w:cs="Times New Roman"/>
          <w:b/>
          <w:sz w:val="24"/>
          <w:szCs w:val="24"/>
          <w:lang w:val="en-US" w:eastAsia="zh-CN"/>
        </w:rPr>
        <w:t>4.3</w:t>
      </w:r>
      <w:r>
        <w:rPr>
          <w:rFonts w:ascii="Times New Roman" w:hAnsi="Times New Roman" w:eastAsia="宋体" w:cs="Times New Roman"/>
          <w:b/>
          <w:sz w:val="24"/>
          <w:szCs w:val="24"/>
        </w:rPr>
        <w:t>-</w:t>
      </w:r>
      <w:r>
        <w:rPr>
          <w:rFonts w:hint="eastAsia" w:ascii="Times New Roman" w:hAnsi="Times New Roman" w:eastAsia="宋体" w:cs="Times New Roman"/>
          <w:b/>
          <w:sz w:val="24"/>
          <w:szCs w:val="24"/>
          <w:lang w:val="en-US" w:eastAsia="zh-CN"/>
        </w:rPr>
        <w:t>3</w:t>
      </w:r>
      <w:r>
        <w:rPr>
          <w:rFonts w:hint="eastAsia" w:ascii="Times New Roman" w:hAnsi="Times New Roman" w:eastAsia="宋体"/>
          <w:b/>
          <w:sz w:val="24"/>
          <w:szCs w:val="24"/>
          <w:lang w:val="en-US" w:eastAsia="zh-CN"/>
        </w:rPr>
        <w:t xml:space="preserve"> </w:t>
      </w:r>
      <w:r>
        <w:rPr>
          <w:rFonts w:hint="eastAsia" w:ascii="Times New Roman" w:hAnsi="Times New Roman" w:eastAsia="宋体" w:cs="Times New Roman"/>
          <w:b/>
          <w:sz w:val="24"/>
          <w:szCs w:val="24"/>
        </w:rPr>
        <w:t>3,5二氯苯甲酰氯联产苯甲酰氯、三氯苯工艺流程及产污环节图</w:t>
      </w:r>
    </w:p>
    <w:p>
      <w:pPr>
        <w:spacing w:line="360" w:lineRule="auto"/>
        <w:rPr>
          <w:rFonts w:ascii="Times New Roman" w:hAnsi="Times New Roman" w:eastAsia="宋体"/>
          <w:sz w:val="24"/>
        </w:rPr>
      </w:pPr>
      <w:r>
        <w:rPr>
          <w:rFonts w:ascii="Times New Roman" w:hAnsi="Times New Roman" w:eastAsia="宋体"/>
          <w:sz w:val="24"/>
        </w:rPr>
        <w:t>（2）工艺说明</w:t>
      </w:r>
    </w:p>
    <w:p>
      <w:pPr>
        <w:spacing w:line="360" w:lineRule="auto"/>
        <w:ind w:firstLine="480" w:firstLineChars="200"/>
        <w:rPr>
          <w:rFonts w:ascii="Times New Roman" w:hAnsi="Times New Roman" w:eastAsia="宋体"/>
          <w:sz w:val="24"/>
        </w:rPr>
      </w:pPr>
      <w:r>
        <w:rPr>
          <w:rFonts w:ascii="Times New Roman" w:hAnsi="Times New Roman" w:eastAsia="宋体"/>
          <w:sz w:val="24"/>
        </w:rPr>
        <w:t>①合成</w:t>
      </w:r>
    </w:p>
    <w:p>
      <w:pPr>
        <w:spacing w:line="360" w:lineRule="auto"/>
        <w:ind w:firstLine="480" w:firstLineChars="200"/>
        <w:rPr>
          <w:rFonts w:ascii="Times New Roman" w:hAnsi="Times New Roman" w:eastAsia="宋体"/>
          <w:sz w:val="24"/>
        </w:rPr>
      </w:pPr>
      <w:r>
        <w:rPr>
          <w:rFonts w:ascii="Times New Roman" w:hAnsi="Times New Roman" w:eastAsia="宋体"/>
          <w:sz w:val="24"/>
        </w:rPr>
        <w:t>在5000L的合成釜中投入经计量的三氯苄和间苯二甲酸，蒸汽夹套慢慢加热升温到80℃，关闭蒸汽阀，在常压下进行合成反应。该反应为放热反应，随着反应温度的升高，打开夹套循环冷却水，控制温度在100-105℃，单批次反应时间为6h；在</w:t>
      </w:r>
      <w:r>
        <w:rPr>
          <w:rFonts w:hint="eastAsia" w:ascii="Times New Roman" w:hAnsi="Times New Roman" w:eastAsia="宋体"/>
          <w:sz w:val="24"/>
        </w:rPr>
        <w:t>投料以及加热升温时会</w:t>
      </w:r>
      <w:r>
        <w:rPr>
          <w:rFonts w:ascii="Times New Roman" w:hAnsi="Times New Roman" w:eastAsia="宋体"/>
          <w:sz w:val="24"/>
        </w:rPr>
        <w:t>产生氯化氢</w:t>
      </w:r>
      <w:r>
        <w:rPr>
          <w:rFonts w:hint="eastAsia" w:ascii="Times New Roman" w:hAnsi="Times New Roman" w:eastAsia="宋体"/>
          <w:sz w:val="24"/>
        </w:rPr>
        <w:t>以及少量三氯苄、二氯苄</w:t>
      </w:r>
      <w:r>
        <w:rPr>
          <w:rFonts w:ascii="Times New Roman" w:hAnsi="Times New Roman" w:eastAsia="宋体"/>
          <w:sz w:val="24"/>
        </w:rPr>
        <w:t>，</w:t>
      </w:r>
      <w:r>
        <w:rPr>
          <w:rFonts w:hint="eastAsia" w:ascii="Times New Roman" w:hAnsi="Times New Roman" w:eastAsia="宋体"/>
          <w:sz w:val="24"/>
        </w:rPr>
        <w:t>二氯苄、三氯苄</w:t>
      </w:r>
      <w:r>
        <w:rPr>
          <w:rFonts w:ascii="Times New Roman" w:hAnsi="Times New Roman" w:eastAsia="宋体"/>
          <w:sz w:val="24"/>
        </w:rPr>
        <w:t>经</w:t>
      </w:r>
      <w:r>
        <w:rPr>
          <w:rFonts w:hint="eastAsia" w:ascii="Times New Roman" w:hAnsi="Times New Roman" w:eastAsia="宋体"/>
          <w:sz w:val="24"/>
        </w:rPr>
        <w:t>釜顶冷凝装置冷凝回流进入釜内，少量随氯化氢一起经三</w:t>
      </w:r>
      <w:r>
        <w:rPr>
          <w:rFonts w:ascii="Times New Roman" w:hAnsi="Times New Roman" w:eastAsia="宋体"/>
          <w:sz w:val="24"/>
        </w:rPr>
        <w:t>级</w:t>
      </w:r>
      <w:r>
        <w:rPr>
          <w:rFonts w:hint="eastAsia" w:ascii="Times New Roman" w:hAnsi="Times New Roman" w:eastAsia="宋体"/>
          <w:sz w:val="24"/>
        </w:rPr>
        <w:t>降膜</w:t>
      </w:r>
      <w:r>
        <w:rPr>
          <w:rFonts w:ascii="Times New Roman" w:hAnsi="Times New Roman" w:eastAsia="宋体"/>
          <w:sz w:val="24"/>
        </w:rPr>
        <w:t>吸收+</w:t>
      </w:r>
      <w:r>
        <w:rPr>
          <w:rFonts w:hint="eastAsia" w:ascii="Times New Roman" w:hAnsi="Times New Roman" w:eastAsia="宋体"/>
          <w:sz w:val="24"/>
        </w:rPr>
        <w:t>二级水吸收+二</w:t>
      </w:r>
      <w:r>
        <w:rPr>
          <w:rFonts w:ascii="Times New Roman" w:hAnsi="Times New Roman" w:eastAsia="宋体"/>
          <w:sz w:val="24"/>
        </w:rPr>
        <w:t>级碱喷淋进行吸收处理。</w:t>
      </w:r>
    </w:p>
    <w:p>
      <w:pPr>
        <w:spacing w:line="360" w:lineRule="auto"/>
        <w:ind w:firstLine="480" w:firstLineChars="200"/>
        <w:rPr>
          <w:rFonts w:ascii="Times New Roman" w:hAnsi="Times New Roman" w:eastAsia="宋体"/>
          <w:sz w:val="24"/>
        </w:rPr>
      </w:pPr>
      <w:r>
        <w:rPr>
          <w:rFonts w:ascii="Times New Roman" w:hAnsi="Times New Roman" w:eastAsia="宋体"/>
          <w:sz w:val="24"/>
        </w:rPr>
        <w:t>②精馏</w:t>
      </w:r>
    </w:p>
    <w:p>
      <w:pPr>
        <w:spacing w:line="360" w:lineRule="auto"/>
        <w:ind w:firstLine="480" w:firstLineChars="200"/>
        <w:rPr>
          <w:rFonts w:ascii="Times New Roman" w:hAnsi="Times New Roman" w:eastAsia="宋体"/>
          <w:sz w:val="24"/>
        </w:rPr>
      </w:pPr>
      <w:r>
        <w:rPr>
          <w:rFonts w:hint="eastAsia" w:ascii="Times New Roman" w:hAnsi="Times New Roman" w:eastAsia="宋体"/>
          <w:sz w:val="24"/>
        </w:rPr>
        <w:t>合成反应结束后，</w:t>
      </w:r>
      <w:r>
        <w:rPr>
          <w:rFonts w:ascii="Times New Roman" w:hAnsi="Times New Roman" w:eastAsia="宋体"/>
          <w:sz w:val="24"/>
        </w:rPr>
        <w:t>将合成釜内的物料通过冷却水进行间接冷却至70℃后将物料用泵打入10m</w:t>
      </w:r>
      <w:r>
        <w:rPr>
          <w:rFonts w:ascii="Times New Roman" w:hAnsi="Times New Roman" w:eastAsia="宋体"/>
          <w:sz w:val="24"/>
          <w:vertAlign w:val="superscript"/>
        </w:rPr>
        <w:t>3</w:t>
      </w:r>
      <w:r>
        <w:rPr>
          <w:rFonts w:ascii="Times New Roman" w:hAnsi="Times New Roman" w:eastAsia="宋体"/>
          <w:sz w:val="24"/>
        </w:rPr>
        <w:t>PP中间料储槽，再通过真空泵将合成料转至1#精馏塔（ф0.7m×23m）塔釜（16m</w:t>
      </w:r>
      <w:r>
        <w:rPr>
          <w:rFonts w:ascii="Times New Roman" w:hAnsi="Times New Roman" w:eastAsia="宋体"/>
          <w:sz w:val="24"/>
          <w:vertAlign w:val="superscript"/>
        </w:rPr>
        <w:t>3</w:t>
      </w:r>
      <w:r>
        <w:rPr>
          <w:rFonts w:ascii="Times New Roman" w:hAnsi="Times New Roman" w:eastAsia="宋体"/>
          <w:sz w:val="24"/>
        </w:rPr>
        <w:t>蒸馏储罐），在200℃、-0.092MPa下进行精馏24 h，分离苯甲酰氯和间苯二甲酰氯。前馏出液为苯甲酰氯，苯甲酰氯利用高位差转至</w:t>
      </w:r>
      <w:r>
        <w:rPr>
          <w:rFonts w:hint="eastAsia" w:ascii="Times New Roman" w:hAnsi="Times New Roman" w:eastAsia="宋体"/>
          <w:sz w:val="24"/>
        </w:rPr>
        <w:t>1#</w:t>
      </w:r>
      <w:r>
        <w:rPr>
          <w:rFonts w:ascii="Times New Roman" w:hAnsi="Times New Roman" w:eastAsia="宋体"/>
          <w:sz w:val="24"/>
        </w:rPr>
        <w:t>1000L的接收罐（达到一定数量后利用高位差转至10m</w:t>
      </w:r>
      <w:r>
        <w:rPr>
          <w:rFonts w:ascii="Times New Roman" w:hAnsi="Times New Roman" w:eastAsia="宋体"/>
          <w:sz w:val="24"/>
          <w:vertAlign w:val="superscript"/>
        </w:rPr>
        <w:t>3</w:t>
      </w:r>
      <w:r>
        <w:rPr>
          <w:rFonts w:ascii="Times New Roman" w:hAnsi="Times New Roman" w:eastAsia="宋体"/>
          <w:sz w:val="24"/>
        </w:rPr>
        <w:t>的PP储罐，用200L塑料桶定量灌装即为成品）；中馏出</w:t>
      </w:r>
      <w:r>
        <w:rPr>
          <w:rFonts w:hint="eastAsia" w:ascii="Times New Roman" w:hAnsi="Times New Roman" w:eastAsia="宋体"/>
          <w:sz w:val="24"/>
        </w:rPr>
        <w:t>液</w:t>
      </w:r>
      <w:r>
        <w:rPr>
          <w:rFonts w:ascii="Times New Roman" w:hAnsi="Times New Roman" w:eastAsia="宋体"/>
          <w:sz w:val="24"/>
        </w:rPr>
        <w:t>为苯甲酰氯、</w:t>
      </w:r>
      <w:r>
        <w:rPr>
          <w:rFonts w:hint="eastAsia" w:ascii="Times New Roman" w:hAnsi="Times New Roman" w:eastAsia="宋体"/>
          <w:sz w:val="24"/>
        </w:rPr>
        <w:t>二氯苄、</w:t>
      </w:r>
      <w:r>
        <w:rPr>
          <w:rFonts w:ascii="Times New Roman" w:hAnsi="Times New Roman" w:eastAsia="宋体"/>
          <w:sz w:val="24"/>
        </w:rPr>
        <w:t>三氯苄氯混合液，利用高位差转入</w:t>
      </w:r>
      <w:r>
        <w:rPr>
          <w:rFonts w:hint="eastAsia" w:ascii="Times New Roman" w:hAnsi="Times New Roman" w:eastAsia="宋体"/>
          <w:sz w:val="24"/>
        </w:rPr>
        <w:t>2#1000L接收罐做为固废；</w:t>
      </w:r>
      <w:r>
        <w:rPr>
          <w:rFonts w:ascii="Times New Roman" w:hAnsi="Times New Roman" w:eastAsia="宋体"/>
          <w:sz w:val="24"/>
        </w:rPr>
        <w:t>留在塔釜里的物料为间苯二甲酰氯，用泵转至2只5000L的接收罐；</w:t>
      </w:r>
    </w:p>
    <w:p>
      <w:pPr>
        <w:spacing w:line="360" w:lineRule="auto"/>
        <w:ind w:firstLine="480" w:firstLineChars="200"/>
        <w:rPr>
          <w:rFonts w:ascii="Times New Roman" w:hAnsi="Times New Roman" w:eastAsia="宋体"/>
          <w:sz w:val="24"/>
        </w:rPr>
      </w:pPr>
      <w:r>
        <w:rPr>
          <w:rFonts w:ascii="Times New Roman" w:hAnsi="Times New Roman" w:eastAsia="宋体"/>
          <w:sz w:val="24"/>
        </w:rPr>
        <w:t>③氯化</w:t>
      </w:r>
    </w:p>
    <w:p>
      <w:pPr>
        <w:spacing w:line="360" w:lineRule="auto"/>
        <w:ind w:firstLine="480" w:firstLineChars="200"/>
        <w:rPr>
          <w:rFonts w:hint="eastAsia" w:ascii="Times New Roman" w:hAnsi="Times New Roman" w:eastAsia="宋体"/>
          <w:sz w:val="24"/>
        </w:rPr>
      </w:pPr>
      <w:r>
        <w:rPr>
          <w:rFonts w:ascii="Times New Roman" w:hAnsi="Times New Roman" w:eastAsia="宋体"/>
          <w:sz w:val="24"/>
        </w:rPr>
        <w:t>把定量的间苯二甲酰氯用泵转至3000L的配料釜，加入定量的催化剂三氯化铁，常温下搅拌约1h。然后利用高位差转至3000L的氯化釜，用蒸汽夹套加热升温到80℃，关闭蒸汽阀门，通入氯气进行氯化反应。反应温度控制在100－105℃、压力0.2MPa，反应时间24 h。该反应是放热反应，反应过程中打开夹套冷却水控制反应温度</w:t>
      </w:r>
      <w:r>
        <w:rPr>
          <w:rFonts w:hint="eastAsia" w:ascii="Times New Roman" w:hAnsi="Times New Roman" w:eastAsia="宋体"/>
          <w:sz w:val="24"/>
        </w:rPr>
        <w:t>；在氯化过程中，连续通氯，余氯与产生的氯化氢持续排放，直到氯化结束，尾气经三级降膜吸收+二级水吸收+二级碱吸收处理后经30m排气筒排放。</w:t>
      </w:r>
    </w:p>
    <w:p>
      <w:pPr>
        <w:spacing w:line="360" w:lineRule="auto"/>
        <w:ind w:firstLine="480" w:firstLineChars="200"/>
        <w:rPr>
          <w:rFonts w:ascii="Times New Roman" w:hAnsi="Times New Roman" w:eastAsia="宋体"/>
          <w:sz w:val="24"/>
        </w:rPr>
      </w:pPr>
      <w:r>
        <w:rPr>
          <w:rFonts w:ascii="Times New Roman" w:hAnsi="Times New Roman" w:eastAsia="宋体"/>
          <w:sz w:val="24"/>
        </w:rPr>
        <w:t>反应结束后通冷却水进行间接冷却，冷却至70℃后将</w:t>
      </w:r>
      <w:r>
        <w:rPr>
          <w:rFonts w:hint="eastAsia" w:ascii="Times New Roman" w:hAnsi="Times New Roman" w:eastAsia="宋体"/>
          <w:sz w:val="24"/>
        </w:rPr>
        <w:t>5-氯间苯二甲酰氯</w:t>
      </w:r>
      <w:r>
        <w:rPr>
          <w:rFonts w:ascii="Times New Roman" w:hAnsi="Times New Roman" w:eastAsia="宋体"/>
          <w:sz w:val="24"/>
        </w:rPr>
        <w:t>用泵转至3000L的中间料储罐，然后将物料利用高位差转至10m</w:t>
      </w:r>
      <w:r>
        <w:rPr>
          <w:rFonts w:ascii="Times New Roman" w:hAnsi="Times New Roman" w:eastAsia="宋体"/>
          <w:sz w:val="24"/>
          <w:vertAlign w:val="superscript"/>
        </w:rPr>
        <w:t>3</w:t>
      </w:r>
      <w:r>
        <w:rPr>
          <w:rFonts w:ascii="Times New Roman" w:hAnsi="Times New Roman" w:eastAsia="宋体"/>
          <w:sz w:val="24"/>
        </w:rPr>
        <w:t>的PP储罐；</w:t>
      </w:r>
    </w:p>
    <w:p>
      <w:pPr>
        <w:spacing w:line="360" w:lineRule="auto"/>
        <w:ind w:firstLine="480" w:firstLineChars="200"/>
        <w:rPr>
          <w:rFonts w:ascii="Times New Roman" w:hAnsi="Times New Roman" w:eastAsia="宋体"/>
          <w:sz w:val="24"/>
        </w:rPr>
      </w:pPr>
      <w:r>
        <w:rPr>
          <w:rFonts w:ascii="Times New Roman" w:hAnsi="Times New Roman" w:eastAsia="宋体"/>
          <w:sz w:val="24"/>
        </w:rPr>
        <w:t>④粗蒸</w:t>
      </w:r>
    </w:p>
    <w:p>
      <w:pPr>
        <w:spacing w:line="360" w:lineRule="auto"/>
        <w:ind w:firstLine="480" w:firstLineChars="200"/>
        <w:rPr>
          <w:rFonts w:ascii="Times New Roman" w:hAnsi="Times New Roman" w:eastAsia="宋体"/>
          <w:sz w:val="24"/>
        </w:rPr>
      </w:pPr>
      <w:r>
        <w:rPr>
          <w:rFonts w:ascii="Times New Roman" w:hAnsi="Times New Roman" w:eastAsia="宋体"/>
          <w:sz w:val="24"/>
        </w:rPr>
        <w:t>将5-氯间苯二甲酰氯用真空转至1000L不锈钢蒸馏釜，在2</w:t>
      </w:r>
      <w:r>
        <w:rPr>
          <w:rFonts w:hint="eastAsia" w:ascii="Times New Roman" w:hAnsi="Times New Roman" w:eastAsia="宋体"/>
          <w:sz w:val="24"/>
        </w:rPr>
        <w:t>5</w:t>
      </w:r>
      <w:r>
        <w:rPr>
          <w:rFonts w:ascii="Times New Roman" w:hAnsi="Times New Roman" w:eastAsia="宋体"/>
          <w:sz w:val="24"/>
        </w:rPr>
        <w:t>0℃（远红外辐射电加热）、-0.092MPa下粗蒸6h，</w:t>
      </w:r>
      <w:r>
        <w:rPr>
          <w:rFonts w:hint="eastAsia" w:ascii="Times New Roman" w:hAnsi="Times New Roman" w:eastAsia="宋体"/>
          <w:sz w:val="24"/>
        </w:rPr>
        <w:t>去除其中催化剂、杂质等，为了保护下步精馏工序的设备以及保证精馏产品的纯度，</w:t>
      </w:r>
      <w:r>
        <w:rPr>
          <w:rFonts w:ascii="Times New Roman" w:hAnsi="Times New Roman" w:eastAsia="宋体"/>
          <w:sz w:val="24"/>
        </w:rPr>
        <w:t>粗蒸后的5-氯间苯二甲酰氯经冷凝器冷却至40℃后利用高位差转入1000L的接收罐，结束后利用高位差转入10 m</w:t>
      </w:r>
      <w:r>
        <w:rPr>
          <w:rFonts w:ascii="Times New Roman" w:hAnsi="Times New Roman" w:eastAsia="宋体"/>
          <w:sz w:val="24"/>
          <w:vertAlign w:val="superscript"/>
        </w:rPr>
        <w:t>3</w:t>
      </w:r>
      <w:r>
        <w:rPr>
          <w:rFonts w:ascii="Times New Roman" w:hAnsi="Times New Roman" w:eastAsia="宋体"/>
          <w:sz w:val="24"/>
        </w:rPr>
        <w:t>的PP储罐；</w:t>
      </w:r>
    </w:p>
    <w:p>
      <w:pPr>
        <w:spacing w:line="360" w:lineRule="auto"/>
        <w:ind w:firstLine="480" w:firstLineChars="200"/>
        <w:rPr>
          <w:rFonts w:ascii="Times New Roman" w:hAnsi="Times New Roman" w:eastAsia="宋体"/>
          <w:sz w:val="24"/>
        </w:rPr>
      </w:pPr>
      <w:r>
        <w:rPr>
          <w:rFonts w:ascii="Times New Roman" w:hAnsi="Times New Roman" w:eastAsia="宋体"/>
          <w:sz w:val="24"/>
        </w:rPr>
        <w:t>⑤精馏</w:t>
      </w:r>
    </w:p>
    <w:p>
      <w:pPr>
        <w:spacing w:line="360" w:lineRule="auto"/>
        <w:ind w:firstLine="480" w:firstLineChars="200"/>
        <w:rPr>
          <w:rFonts w:ascii="Times New Roman" w:hAnsi="Times New Roman" w:eastAsia="宋体"/>
          <w:sz w:val="24"/>
        </w:rPr>
      </w:pPr>
      <w:r>
        <w:rPr>
          <w:rFonts w:ascii="Times New Roman" w:hAnsi="Times New Roman" w:eastAsia="宋体"/>
          <w:sz w:val="24"/>
        </w:rPr>
        <w:t>将5-氯间苯二甲酰氯用真空转入3#或4#精馏塔（</w:t>
      </w:r>
      <w:r>
        <w:rPr>
          <w:rFonts w:hint="eastAsia" w:ascii="Times New Roman" w:hAnsi="Times New Roman" w:eastAsia="宋体"/>
          <w:sz w:val="24"/>
        </w:rPr>
        <w:t>φ</w:t>
      </w:r>
      <w:r>
        <w:rPr>
          <w:rFonts w:ascii="Times New Roman" w:hAnsi="Times New Roman" w:eastAsia="宋体"/>
          <w:sz w:val="24"/>
        </w:rPr>
        <w:t>1m×32m)塔釜（16m</w:t>
      </w:r>
      <w:r>
        <w:rPr>
          <w:rFonts w:ascii="Times New Roman" w:hAnsi="Times New Roman" w:eastAsia="宋体"/>
          <w:sz w:val="24"/>
          <w:vertAlign w:val="superscript"/>
        </w:rPr>
        <w:t>3</w:t>
      </w:r>
      <w:r>
        <w:rPr>
          <w:rFonts w:ascii="Times New Roman" w:hAnsi="Times New Roman" w:eastAsia="宋体"/>
          <w:sz w:val="24"/>
        </w:rPr>
        <w:t>的碳钢蒸馏储罐），在200℃（蒸汽内盘管加热）、-0.092MPa下精馏约120h。精馏后的5-氯间苯二甲酰氯通过高位差转入1000L的接收罐，达到一定数量后利用高位差转入20 m</w:t>
      </w:r>
      <w:r>
        <w:rPr>
          <w:rFonts w:ascii="Times New Roman" w:hAnsi="Times New Roman" w:eastAsia="宋体"/>
          <w:sz w:val="24"/>
          <w:vertAlign w:val="superscript"/>
        </w:rPr>
        <w:t>3</w:t>
      </w:r>
      <w:r>
        <w:rPr>
          <w:rFonts w:ascii="Times New Roman" w:hAnsi="Times New Roman" w:eastAsia="宋体"/>
          <w:sz w:val="24"/>
        </w:rPr>
        <w:t>的碳钢储罐，釜底会有少量残液放出；</w:t>
      </w:r>
    </w:p>
    <w:p>
      <w:pPr>
        <w:spacing w:line="360" w:lineRule="auto"/>
        <w:ind w:firstLine="480" w:firstLineChars="200"/>
        <w:rPr>
          <w:rFonts w:hint="eastAsia" w:ascii="Times New Roman" w:hAnsi="Times New Roman" w:eastAsia="宋体"/>
          <w:sz w:val="24"/>
        </w:rPr>
      </w:pPr>
      <w:r>
        <w:rPr>
          <w:rFonts w:ascii="Times New Roman" w:hAnsi="Times New Roman" w:eastAsia="宋体"/>
          <w:sz w:val="24"/>
        </w:rPr>
        <w:t>⑥</w:t>
      </w:r>
      <w:r>
        <w:rPr>
          <w:rFonts w:hint="eastAsia" w:ascii="Times New Roman" w:hAnsi="Times New Roman" w:eastAsia="宋体"/>
          <w:sz w:val="24"/>
        </w:rPr>
        <w:t>重排</w:t>
      </w:r>
    </w:p>
    <w:p>
      <w:pPr>
        <w:spacing w:line="360" w:lineRule="auto"/>
        <w:ind w:firstLine="480" w:firstLineChars="200"/>
        <w:rPr>
          <w:rFonts w:hint="eastAsia" w:ascii="Times New Roman" w:hAnsi="Times New Roman" w:eastAsia="宋体"/>
          <w:sz w:val="24"/>
        </w:rPr>
      </w:pPr>
      <w:r>
        <w:rPr>
          <w:rFonts w:ascii="Times New Roman" w:hAnsi="Times New Roman" w:eastAsia="宋体"/>
          <w:sz w:val="24"/>
        </w:rPr>
        <w:t>将5-氯间苯二甲酰氯用泵转至3000L反应釜，用蒸汽夹套加热到100℃，然后利用高位差将物料转至3000L的搪瓷重排釜，加入催化剂氧化铑，在250℃（远红外辐射电加热）、常压下进行重排反应，反应时间约6h</w:t>
      </w:r>
      <w:r>
        <w:rPr>
          <w:rFonts w:hint="eastAsia" w:ascii="Times New Roman" w:hAnsi="Times New Roman" w:eastAsia="宋体"/>
          <w:sz w:val="24"/>
        </w:rPr>
        <w:t>。</w:t>
      </w:r>
      <w:r>
        <w:rPr>
          <w:rFonts w:ascii="Times New Roman" w:hAnsi="Times New Roman" w:eastAsia="宋体"/>
          <w:sz w:val="24"/>
        </w:rPr>
        <w:t>反应结束后</w:t>
      </w:r>
      <w:r>
        <w:rPr>
          <w:rFonts w:hint="eastAsia" w:ascii="Times New Roman" w:hAnsi="Times New Roman" w:eastAsia="宋体"/>
          <w:sz w:val="24"/>
        </w:rPr>
        <w:t>3,5-二氯苯甲酰氯，1,3,5-三氯苯</w:t>
      </w:r>
      <w:r>
        <w:rPr>
          <w:rFonts w:ascii="Times New Roman" w:hAnsi="Times New Roman" w:eastAsia="宋体"/>
          <w:sz w:val="24"/>
        </w:rPr>
        <w:t>经冷凝器冷凝至40℃后利用高位差将物料转至1000L接收罐，达到一定数量后利用高位差转入20 m</w:t>
      </w:r>
      <w:r>
        <w:rPr>
          <w:rFonts w:ascii="Times New Roman" w:hAnsi="Times New Roman" w:eastAsia="宋体"/>
          <w:sz w:val="24"/>
          <w:vertAlign w:val="superscript"/>
        </w:rPr>
        <w:t>3</w:t>
      </w:r>
      <w:r>
        <w:rPr>
          <w:rFonts w:ascii="Times New Roman" w:hAnsi="Times New Roman" w:eastAsia="宋体"/>
          <w:sz w:val="24"/>
        </w:rPr>
        <w:t>的碳钢储罐，釜内残余少量残液，从釜底放出；</w:t>
      </w:r>
      <w:r>
        <w:rPr>
          <w:rFonts w:hint="eastAsia" w:ascii="Times New Roman" w:hAnsi="Times New Roman" w:eastAsia="宋体"/>
          <w:sz w:val="24"/>
        </w:rPr>
        <w:t>在这过程中产生的少量二氯苄经釜顶冷凝装置冷凝回流后部分与CO一并经30m排气筒排放。重排工段3个3000L重排釜轮流进行反应。</w:t>
      </w:r>
    </w:p>
    <w:p>
      <w:pPr>
        <w:spacing w:line="360" w:lineRule="auto"/>
        <w:ind w:firstLine="480" w:firstLineChars="200"/>
        <w:rPr>
          <w:rFonts w:ascii="Times New Roman" w:hAnsi="Times New Roman" w:eastAsia="宋体"/>
          <w:sz w:val="24"/>
        </w:rPr>
      </w:pPr>
      <w:r>
        <w:rPr>
          <w:rFonts w:ascii="Times New Roman" w:hAnsi="Times New Roman" w:eastAsia="宋体"/>
          <w:sz w:val="24"/>
        </w:rPr>
        <w:t>⑦精馏</w:t>
      </w:r>
    </w:p>
    <w:p>
      <w:pPr>
        <w:spacing w:line="360" w:lineRule="auto"/>
        <w:rPr>
          <w:rFonts w:hint="eastAsia" w:ascii="Times New Roman" w:hAnsi="Times New Roman" w:eastAsia="宋体" w:cs="Times New Roman"/>
          <w:b/>
          <w:sz w:val="24"/>
          <w:szCs w:val="24"/>
          <w:lang w:val="en-US" w:eastAsia="zh-CN"/>
        </w:rPr>
      </w:pPr>
      <w:r>
        <w:rPr>
          <w:rFonts w:ascii="Times New Roman" w:hAnsi="Times New Roman" w:eastAsia="宋体"/>
          <w:sz w:val="24"/>
        </w:rPr>
        <w:t>将定量的重排物料用真空转至2#精馏塔（</w:t>
      </w:r>
      <w:r>
        <w:rPr>
          <w:rFonts w:hint="eastAsia" w:ascii="Times New Roman" w:hAnsi="Times New Roman" w:eastAsia="宋体"/>
          <w:sz w:val="24"/>
        </w:rPr>
        <w:t>φ</w:t>
      </w:r>
      <w:r>
        <w:rPr>
          <w:rFonts w:ascii="Times New Roman" w:hAnsi="Times New Roman" w:eastAsia="宋体"/>
          <w:sz w:val="24"/>
        </w:rPr>
        <w:t>0.7×28m）塔釜（16 m</w:t>
      </w:r>
      <w:r>
        <w:rPr>
          <w:rFonts w:ascii="Times New Roman" w:hAnsi="Times New Roman" w:eastAsia="宋体"/>
          <w:sz w:val="24"/>
          <w:vertAlign w:val="superscript"/>
        </w:rPr>
        <w:t>3</w:t>
      </w:r>
      <w:r>
        <w:rPr>
          <w:rFonts w:ascii="Times New Roman" w:hAnsi="Times New Roman" w:eastAsia="宋体"/>
          <w:sz w:val="24"/>
        </w:rPr>
        <w:t>的碳钢蒸馏储罐），在200℃（</w:t>
      </w:r>
      <w:r>
        <w:rPr>
          <w:rFonts w:ascii="Times New Roman" w:hAnsi="Times New Roman" w:eastAsia="宋体"/>
          <w:bCs/>
          <w:sz w:val="24"/>
        </w:rPr>
        <w:t>蒸汽内盘管加热</w:t>
      </w:r>
      <w:r>
        <w:rPr>
          <w:rFonts w:ascii="Times New Roman" w:hAnsi="Times New Roman" w:eastAsia="宋体"/>
          <w:sz w:val="24"/>
        </w:rPr>
        <w:t>）、-0.092MPa下精馏约1</w:t>
      </w:r>
      <w:r>
        <w:rPr>
          <w:rFonts w:hint="eastAsia" w:ascii="Times New Roman" w:hAnsi="Times New Roman" w:eastAsia="宋体"/>
          <w:sz w:val="24"/>
        </w:rPr>
        <w:t>5</w:t>
      </w:r>
      <w:r>
        <w:rPr>
          <w:rFonts w:ascii="Times New Roman" w:hAnsi="Times New Roman" w:eastAsia="宋体"/>
          <w:sz w:val="24"/>
        </w:rPr>
        <w:t>0h，分离1，3，5-三氯苯和3，5-二氯苯甲酰氯。精馏出的1，3，5-三氯苯</w:t>
      </w:r>
      <w:r>
        <w:rPr>
          <w:rFonts w:hint="eastAsia" w:ascii="Times New Roman" w:hAnsi="Times New Roman" w:eastAsia="宋体"/>
          <w:sz w:val="24"/>
        </w:rPr>
        <w:t>从塔顶放出，</w:t>
      </w:r>
      <w:r>
        <w:rPr>
          <w:rFonts w:ascii="Times New Roman" w:hAnsi="Times New Roman" w:eastAsia="宋体"/>
          <w:sz w:val="24"/>
        </w:rPr>
        <w:t>利用高位差转至1000L的接收罐，用桶灌装；精馏出的3，5-二氯苯甲酰氯</w:t>
      </w:r>
      <w:r>
        <w:rPr>
          <w:rFonts w:hint="eastAsia" w:ascii="Times New Roman" w:hAnsi="Times New Roman" w:eastAsia="宋体"/>
          <w:sz w:val="24"/>
        </w:rPr>
        <w:t>从塔顶</w:t>
      </w:r>
      <w:r>
        <w:rPr>
          <w:rFonts w:ascii="Times New Roman" w:hAnsi="Times New Roman" w:eastAsia="宋体"/>
          <w:sz w:val="24"/>
        </w:rPr>
        <w:t>利用高位差转至3000L的配料釜，用桶灌装</w:t>
      </w:r>
      <w:r>
        <w:rPr>
          <w:rFonts w:hint="eastAsia" w:ascii="Times New Roman" w:hAnsi="Times New Roman" w:eastAsia="宋体"/>
          <w:sz w:val="24"/>
          <w:lang w:eastAsia="zh-CN"/>
        </w:rPr>
        <w:t>。</w:t>
      </w:r>
    </w:p>
    <w:p>
      <w:pPr>
        <w:pStyle w:val="2"/>
        <w:rPr>
          <w:rFonts w:hint="eastAsia" w:ascii="Times New Roman" w:hAnsi="Times New Roman" w:eastAsia="宋体" w:cs="Times New Roman"/>
          <w:b/>
          <w:sz w:val="24"/>
          <w:szCs w:val="24"/>
          <w:lang w:val="en-US" w:eastAsia="zh-CN"/>
        </w:rPr>
      </w:pPr>
    </w:p>
    <w:p>
      <w:pPr>
        <w:numPr>
          <w:ilvl w:val="0"/>
          <w:numId w:val="0"/>
        </w:numPr>
        <w:spacing w:line="360" w:lineRule="auto"/>
        <w:ind w:firstLine="241" w:firstLineChars="100"/>
        <w:rPr>
          <w:rFonts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4.3-2工业三废</w:t>
      </w:r>
    </w:p>
    <w:p>
      <w:pPr>
        <w:numPr>
          <w:ilvl w:val="0"/>
          <w:numId w:val="0"/>
        </w:num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1.废水排放及防治措施</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厂区实行“雨污分流、清污分流”原则：循环水定期溢流水做为清下水排放，地面、设备冲洗水等经厂区污水站处理达到园区接管要求后，进入园区污水处理厂集中处理。厂区排放执行《污水综合排放标准》（GB8978-1996）中三级标准后经园区污水处理厂深度处理达标后，最终排入黄海。</w:t>
      </w:r>
    </w:p>
    <w:p>
      <w:pPr>
        <w:pStyle w:val="2"/>
        <w:ind w:firstLine="480" w:firstLineChars="200"/>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污水处理站设计规模为100t/d，废水年排放量28.39吨，采用的废水处理工艺见图4.3-6。</w:t>
      </w:r>
    </w:p>
    <w:p>
      <w:pPr>
        <w:pStyle w:val="2"/>
        <w:jc w:val="both"/>
        <w:rPr>
          <w:rFonts w:ascii="Times New Roman" w:hAnsi="Times New Roman" w:eastAsia="宋体"/>
        </w:rPr>
      </w:pPr>
      <w:r>
        <w:rPr>
          <w:rFonts w:ascii="Times New Roman" w:hAnsi="Times New Roman" w:eastAsia="宋体"/>
        </w:rPr>
        <w:drawing>
          <wp:inline distT="0" distB="0" distL="114300" distR="114300">
            <wp:extent cx="5273040" cy="3790315"/>
            <wp:effectExtent l="0" t="0" r="3810" b="63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6"/>
                    <a:stretch>
                      <a:fillRect/>
                    </a:stretch>
                  </pic:blipFill>
                  <pic:spPr>
                    <a:xfrm>
                      <a:off x="0" y="0"/>
                      <a:ext cx="5273040" cy="3790315"/>
                    </a:xfrm>
                    <a:prstGeom prst="rect">
                      <a:avLst/>
                    </a:prstGeom>
                    <a:noFill/>
                    <a:ln>
                      <a:noFill/>
                    </a:ln>
                  </pic:spPr>
                </pic:pic>
              </a:graphicData>
            </a:graphic>
          </wp:inline>
        </w:drawing>
      </w:r>
    </w:p>
    <w:p>
      <w:pPr>
        <w:pStyle w:val="2"/>
        <w:jc w:val="center"/>
        <w:rPr>
          <w:rFonts w:hint="eastAsia" w:ascii="Times New Roman" w:hAnsi="Times New Roman" w:eastAsia="宋体"/>
          <w:lang w:val="en-US" w:eastAsia="zh-CN"/>
        </w:rPr>
      </w:pPr>
      <w:r>
        <w:rPr>
          <w:rFonts w:hint="eastAsia" w:ascii="Times New Roman" w:hAnsi="Times New Roman" w:eastAsia="宋体" w:cs="Times New Roman"/>
          <w:b/>
          <w:sz w:val="24"/>
          <w:szCs w:val="24"/>
          <w:lang w:val="en-US" w:eastAsia="zh-CN"/>
        </w:rPr>
        <w:t>图4.3-6 废水工艺流程图</w:t>
      </w:r>
    </w:p>
    <w:p>
      <w:pPr>
        <w:numPr>
          <w:ilvl w:val="0"/>
          <w:numId w:val="5"/>
        </w:numPr>
        <w:spacing w:line="360" w:lineRule="auto"/>
        <w:ind w:left="842" w:leftChars="0" w:hanging="36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废气排放及防治措施</w:t>
      </w:r>
    </w:p>
    <w:p>
      <w:pPr>
        <w:spacing w:line="360" w:lineRule="auto"/>
        <w:ind w:firstLine="480" w:firstLineChars="200"/>
        <w:rPr>
          <w:rFonts w:hint="eastAsia" w:ascii="Times New Roman" w:hAnsi="Times New Roman" w:eastAsia="宋体"/>
          <w:sz w:val="24"/>
        </w:rPr>
      </w:pPr>
      <w:r>
        <w:rPr>
          <w:rFonts w:hint="eastAsia" w:ascii="Times New Roman" w:hAnsi="Times New Roman" w:eastAsia="宋体"/>
          <w:sz w:val="24"/>
        </w:rPr>
        <w:t>（1）有组织废气</w:t>
      </w:r>
    </w:p>
    <w:p>
      <w:pPr>
        <w:pStyle w:val="7"/>
        <w:spacing w:line="360" w:lineRule="auto"/>
        <w:ind w:firstLine="480"/>
        <w:rPr>
          <w:rFonts w:hint="eastAsia" w:ascii="Times New Roman" w:hAnsi="Times New Roman" w:eastAsia="宋体"/>
          <w:sz w:val="24"/>
        </w:rPr>
      </w:pPr>
      <w:r>
        <w:rPr>
          <w:rFonts w:hint="eastAsia" w:ascii="Times New Roman" w:hAnsi="Times New Roman" w:eastAsia="宋体"/>
          <w:sz w:val="24"/>
          <w:lang w:val="en-US" w:eastAsia="zh-CN"/>
        </w:rPr>
        <w:t>企业</w:t>
      </w:r>
      <w:r>
        <w:rPr>
          <w:rFonts w:hint="eastAsia" w:ascii="Times New Roman" w:hAnsi="Times New Roman" w:eastAsia="宋体"/>
          <w:sz w:val="24"/>
        </w:rPr>
        <w:t>所需蒸汽由工业园区集中供热，不设锅炉，废气主要是工艺过程中产生。</w:t>
      </w:r>
    </w:p>
    <w:p>
      <w:pPr>
        <w:pStyle w:val="7"/>
        <w:spacing w:line="360" w:lineRule="auto"/>
        <w:ind w:firstLine="480"/>
        <w:rPr>
          <w:rFonts w:hint="eastAsia" w:ascii="Times New Roman" w:hAnsi="Times New Roman" w:eastAsia="宋体"/>
          <w:sz w:val="24"/>
        </w:rPr>
      </w:pPr>
      <w:r>
        <w:rPr>
          <w:rFonts w:hint="eastAsia" w:ascii="Times New Roman" w:hAnsi="Times New Roman" w:eastAsia="宋体"/>
          <w:sz w:val="24"/>
        </w:rPr>
        <w:t>氯化苄联产生产线</w:t>
      </w:r>
    </w:p>
    <w:p>
      <w:pPr>
        <w:pStyle w:val="7"/>
        <w:spacing w:line="360" w:lineRule="auto"/>
        <w:ind w:firstLine="480"/>
        <w:rPr>
          <w:rFonts w:hint="eastAsia" w:ascii="Times New Roman" w:hAnsi="Times New Roman" w:eastAsia="宋体"/>
          <w:sz w:val="24"/>
        </w:rPr>
      </w:pPr>
      <w:r>
        <w:rPr>
          <w:rFonts w:hint="eastAsia" w:ascii="Times New Roman" w:hAnsi="Times New Roman" w:eastAsia="宋体"/>
          <w:sz w:val="24"/>
        </w:rPr>
        <w:t>氯化苄联产装置投料、氯化、精馏、水解等工序均有工艺废气产生。该股废气主要为HCl及未反应的少量Cl</w:t>
      </w:r>
      <w:r>
        <w:rPr>
          <w:rFonts w:hint="eastAsia" w:ascii="Times New Roman" w:hAnsi="Times New Roman" w:eastAsia="宋体"/>
          <w:sz w:val="24"/>
          <w:vertAlign w:val="subscript"/>
        </w:rPr>
        <w:t>2</w:t>
      </w:r>
      <w:r>
        <w:rPr>
          <w:rFonts w:hint="eastAsia" w:ascii="Times New Roman" w:hAnsi="Times New Roman" w:eastAsia="宋体"/>
          <w:sz w:val="24"/>
        </w:rPr>
        <w:t>，此外还含有极少量的甲苯、氯化苄、苯甲醛、苯甲酰氯等废气，经真空泵抽送至二级降膜吸收器吸收+碱液喷淋装置处理后通过1#排气筒排放。</w:t>
      </w:r>
    </w:p>
    <w:p>
      <w:pPr>
        <w:spacing w:line="360" w:lineRule="auto"/>
        <w:ind w:firstLine="480" w:firstLineChars="200"/>
        <w:rPr>
          <w:rFonts w:ascii="Times New Roman" w:hAnsi="Times New Roman" w:eastAsia="宋体"/>
          <w:sz w:val="24"/>
        </w:rPr>
      </w:pPr>
      <w:r>
        <w:rPr>
          <w:rFonts w:ascii="Times New Roman" w:hAnsi="Times New Roman" w:eastAsia="宋体"/>
          <w:sz w:val="24"/>
        </w:rPr>
        <w:t>（2）无组织排放</w:t>
      </w:r>
    </w:p>
    <w:p>
      <w:pPr>
        <w:spacing w:line="360" w:lineRule="auto"/>
        <w:ind w:firstLine="480" w:firstLineChars="200"/>
        <w:rPr>
          <w:rFonts w:hint="eastAsia" w:ascii="Times New Roman" w:hAnsi="Times New Roman" w:eastAsia="宋体"/>
          <w:sz w:val="24"/>
          <w:lang w:val="en-US" w:eastAsia="zh-CN"/>
        </w:rPr>
      </w:pPr>
      <w:r>
        <w:rPr>
          <w:rFonts w:ascii="Times New Roman" w:hAnsi="Times New Roman" w:eastAsia="宋体"/>
          <w:sz w:val="24"/>
        </w:rPr>
        <w:t>罐区：甲苯贮罐（30m</w:t>
      </w:r>
      <w:r>
        <w:rPr>
          <w:rFonts w:ascii="Times New Roman" w:hAnsi="Times New Roman" w:eastAsia="宋体"/>
          <w:sz w:val="24"/>
          <w:vertAlign w:val="superscript"/>
        </w:rPr>
        <w:t>3</w:t>
      </w:r>
      <w:r>
        <w:rPr>
          <w:rFonts w:ascii="Times New Roman" w:hAnsi="Times New Roman" w:eastAsia="宋体"/>
          <w:sz w:val="24"/>
        </w:rPr>
        <w:t>×</w:t>
      </w:r>
      <w:r>
        <w:rPr>
          <w:rFonts w:hint="eastAsia" w:ascii="Times New Roman" w:hAnsi="Times New Roman" w:eastAsia="宋体"/>
          <w:sz w:val="24"/>
        </w:rPr>
        <w:t>1</w:t>
      </w:r>
      <w:r>
        <w:rPr>
          <w:rFonts w:ascii="Times New Roman" w:hAnsi="Times New Roman" w:eastAsia="宋体"/>
          <w:sz w:val="24"/>
        </w:rPr>
        <w:t>套）</w:t>
      </w:r>
      <w:r>
        <w:rPr>
          <w:rFonts w:hint="eastAsia" w:ascii="Times New Roman" w:hAnsi="Times New Roman" w:eastAsia="宋体"/>
          <w:sz w:val="24"/>
        </w:rPr>
        <w:t>为卧式贮罐，</w:t>
      </w:r>
      <w:r>
        <w:rPr>
          <w:rFonts w:ascii="Times New Roman" w:hAnsi="Times New Roman" w:eastAsia="宋体"/>
          <w:sz w:val="24"/>
        </w:rPr>
        <w:t>盐酸贮罐（</w:t>
      </w:r>
      <w:r>
        <w:rPr>
          <w:rFonts w:hint="eastAsia" w:ascii="Times New Roman" w:hAnsi="Times New Roman" w:eastAsia="宋体"/>
          <w:sz w:val="24"/>
        </w:rPr>
        <w:t>3</w:t>
      </w:r>
      <w:r>
        <w:rPr>
          <w:rFonts w:ascii="Times New Roman" w:hAnsi="Times New Roman" w:eastAsia="宋体"/>
          <w:sz w:val="24"/>
        </w:rPr>
        <w:t>0m</w:t>
      </w:r>
      <w:r>
        <w:rPr>
          <w:rFonts w:ascii="Times New Roman" w:hAnsi="Times New Roman" w:eastAsia="宋体"/>
          <w:sz w:val="24"/>
          <w:vertAlign w:val="superscript"/>
        </w:rPr>
        <w:t>3</w:t>
      </w:r>
      <w:r>
        <w:rPr>
          <w:rFonts w:ascii="Times New Roman" w:hAnsi="Times New Roman" w:eastAsia="宋体"/>
          <w:sz w:val="24"/>
        </w:rPr>
        <w:t>×1套）</w:t>
      </w:r>
      <w:r>
        <w:rPr>
          <w:rFonts w:hint="eastAsia" w:ascii="Times New Roman" w:hAnsi="Times New Roman" w:eastAsia="宋体"/>
          <w:sz w:val="24"/>
        </w:rPr>
        <w:t>为</w:t>
      </w:r>
      <w:r>
        <w:rPr>
          <w:rFonts w:ascii="Times New Roman" w:hAnsi="Times New Roman" w:eastAsia="宋体"/>
          <w:sz w:val="24"/>
        </w:rPr>
        <w:t>拱顶贮罐，甲苯、甲醇和HCl无组织</w:t>
      </w:r>
      <w:r>
        <w:rPr>
          <w:rFonts w:hint="eastAsia" w:ascii="Times New Roman" w:hAnsi="Times New Roman" w:eastAsia="宋体"/>
          <w:sz w:val="24"/>
          <w:lang w:val="en-US" w:eastAsia="zh-CN"/>
        </w:rPr>
        <w:t>排放。</w:t>
      </w:r>
    </w:p>
    <w:p>
      <w:pPr>
        <w:pStyle w:val="7"/>
        <w:spacing w:line="440" w:lineRule="exact"/>
        <w:ind w:left="0" w:leftChars="0" w:right="170" w:firstLine="480" w:firstLineChars="200"/>
        <w:rPr>
          <w:rFonts w:hint="eastAsia" w:ascii="Times New Roman" w:hAnsi="Times New Roman" w:eastAsia="宋体"/>
          <w:sz w:val="24"/>
          <w:lang w:val="en-US" w:eastAsia="zh-CN"/>
        </w:rPr>
      </w:pPr>
      <w:r>
        <w:rPr>
          <w:rFonts w:ascii="Times New Roman" w:hAnsi="Times New Roman" w:eastAsia="宋体"/>
          <w:sz w:val="24"/>
        </w:rPr>
        <w:t>生产车间：建设项目在生产车间称量过程中有有机溶剂挥发以及管线泄漏，</w:t>
      </w:r>
      <w:r>
        <w:rPr>
          <w:rFonts w:hint="eastAsia" w:ascii="Times New Roman" w:hAnsi="Times New Roman" w:eastAsia="宋体"/>
          <w:sz w:val="24"/>
        </w:rPr>
        <w:t>生产车间各缓冲罐、产品罐也会</w:t>
      </w:r>
      <w:r>
        <w:rPr>
          <w:rFonts w:ascii="Times New Roman" w:hAnsi="Times New Roman" w:eastAsia="宋体"/>
          <w:sz w:val="24"/>
        </w:rPr>
        <w:t>产生无组织排放废气</w:t>
      </w:r>
      <w:r>
        <w:rPr>
          <w:rFonts w:hint="eastAsia" w:ascii="Times New Roman" w:hAnsi="Times New Roman" w:eastAsia="宋体"/>
          <w:sz w:val="24"/>
        </w:rPr>
        <w:t>。</w:t>
      </w:r>
    </w:p>
    <w:p>
      <w:pPr>
        <w:numPr>
          <w:ilvl w:val="0"/>
          <w:numId w:val="5"/>
        </w:numPr>
        <w:spacing w:line="360" w:lineRule="auto"/>
        <w:ind w:left="842" w:leftChars="0" w:hanging="360" w:firstLineChars="0"/>
        <w:rPr>
          <w:rFonts w:hint="eastAsia" w:ascii="Times New Roman" w:hAnsi="Times New Roman" w:eastAsia="宋体" w:cstheme="minorEastAsia"/>
          <w:kern w:val="0"/>
          <w:sz w:val="24"/>
          <w:szCs w:val="24"/>
        </w:rPr>
      </w:pPr>
      <w:r>
        <w:rPr>
          <w:rFonts w:hint="eastAsia" w:ascii="Times New Roman" w:hAnsi="Times New Roman" w:eastAsia="宋体" w:cs="Times New Roman"/>
          <w:sz w:val="24"/>
          <w:szCs w:val="24"/>
          <w:lang w:val="en-US" w:eastAsia="zh-CN"/>
        </w:rPr>
        <w:t>固废排放及防治措施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rPr>
      </w:pPr>
      <w:r>
        <w:rPr>
          <w:rFonts w:ascii="Times New Roman" w:hAnsi="Times New Roman" w:eastAsia="宋体"/>
          <w:sz w:val="24"/>
        </w:rPr>
        <w:t>主要固体废物有工艺固废、水处理污泥以及员工的生活垃圾等</w:t>
      </w:r>
      <w:r>
        <w:rPr>
          <w:rFonts w:hint="eastAsia" w:ascii="Times New Roman" w:hAnsi="Times New Roman" w:eastAsia="宋体" w:cs="Times New Roman"/>
          <w:sz w:val="24"/>
          <w:szCs w:val="24"/>
        </w:rPr>
        <w:t>。</w:t>
      </w:r>
    </w:p>
    <w:p>
      <w:pPr>
        <w:pStyle w:val="2"/>
        <w:jc w:val="center"/>
        <w:rPr>
          <w:rFonts w:hint="eastAsia" w:ascii="Times New Roman" w:hAnsi="Times New Roman" w:eastAsia="宋体" w:cs="Times New Roman"/>
          <w:b/>
          <w:bCs/>
          <w:sz w:val="24"/>
          <w:szCs w:val="24"/>
          <w:lang w:val="en-US" w:eastAsia="zh-CN"/>
        </w:rPr>
      </w:pPr>
    </w:p>
    <w:p>
      <w:pPr>
        <w:pStyle w:val="2"/>
        <w:jc w:val="center"/>
        <w:rPr>
          <w:rFonts w:hint="default" w:ascii="Times New Roman" w:hAnsi="Times New Roman" w:eastAsia="宋体"/>
          <w:b/>
          <w:bCs/>
          <w:lang w:val="en-US" w:eastAsia="zh-CN"/>
        </w:rPr>
      </w:pPr>
      <w:r>
        <w:rPr>
          <w:rFonts w:hint="eastAsia" w:ascii="Times New Roman" w:hAnsi="Times New Roman" w:eastAsia="宋体" w:cs="Times New Roman"/>
          <w:b/>
          <w:bCs/>
          <w:sz w:val="24"/>
          <w:szCs w:val="24"/>
          <w:lang w:val="en-US" w:eastAsia="zh-CN"/>
        </w:rPr>
        <w:t>表4.3-1固废排放及处置措施</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2"/>
        <w:gridCol w:w="1575"/>
        <w:gridCol w:w="1230"/>
        <w:gridCol w:w="1665"/>
        <w:gridCol w:w="1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固体废物名称</w:t>
            </w:r>
          </w:p>
        </w:tc>
        <w:tc>
          <w:tcPr>
            <w:tcW w:w="1575"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固体废物编号</w:t>
            </w:r>
          </w:p>
        </w:tc>
        <w:tc>
          <w:tcPr>
            <w:tcW w:w="1230"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产生量(t/a)</w:t>
            </w:r>
          </w:p>
        </w:tc>
        <w:tc>
          <w:tcPr>
            <w:tcW w:w="1665"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主要成分</w:t>
            </w:r>
          </w:p>
        </w:tc>
        <w:tc>
          <w:tcPr>
            <w:tcW w:w="1695"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处置方法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氯化苄精馏焦油</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15.8</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氯化苄等</w:t>
            </w:r>
          </w:p>
        </w:tc>
        <w:tc>
          <w:tcPr>
            <w:tcW w:w="1695" w:type="dxa"/>
            <w:vMerge w:val="restart"/>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交如东大恒危险废物处理有限公司处置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三氯苄精馏焦油</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11.95</w:t>
            </w:r>
          </w:p>
        </w:tc>
        <w:tc>
          <w:tcPr>
            <w:tcW w:w="166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三氯苄等</w:t>
            </w:r>
          </w:p>
        </w:tc>
        <w:tc>
          <w:tcPr>
            <w:tcW w:w="1695" w:type="dxa"/>
            <w:vMerge w:val="continue"/>
            <w:tcBorders>
              <w:tl2br w:val="nil"/>
              <w:tr2bl w:val="nil"/>
            </w:tcBorders>
            <w:noWrap w:val="0"/>
            <w:vAlign w:val="center"/>
          </w:tcPr>
          <w:p>
            <w:pPr>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二氯苄精馏焦油</w:t>
            </w:r>
          </w:p>
        </w:tc>
        <w:tc>
          <w:tcPr>
            <w:tcW w:w="157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36.46</w:t>
            </w:r>
          </w:p>
        </w:tc>
        <w:tc>
          <w:tcPr>
            <w:tcW w:w="166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二氯苄等</w:t>
            </w:r>
          </w:p>
        </w:tc>
        <w:tc>
          <w:tcPr>
            <w:tcW w:w="1695" w:type="dxa"/>
            <w:vMerge w:val="continue"/>
            <w:tcBorders>
              <w:tl2br w:val="nil"/>
              <w:tr2bl w:val="nil"/>
            </w:tcBorders>
            <w:noWrap w:val="0"/>
            <w:vAlign w:val="center"/>
          </w:tcPr>
          <w:p>
            <w:pPr>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水解废催化剂</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HW14</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12</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含铁化合物等</w:t>
            </w:r>
          </w:p>
        </w:tc>
        <w:tc>
          <w:tcPr>
            <w:tcW w:w="169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由生产厂家回收活化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苯甲醛精馏焦油</w:t>
            </w:r>
          </w:p>
        </w:tc>
        <w:tc>
          <w:tcPr>
            <w:tcW w:w="157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13.56</w:t>
            </w:r>
          </w:p>
        </w:tc>
        <w:tc>
          <w:tcPr>
            <w:tcW w:w="166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苯甲醛等</w:t>
            </w:r>
          </w:p>
        </w:tc>
        <w:tc>
          <w:tcPr>
            <w:tcW w:w="1695" w:type="dxa"/>
            <w:vMerge w:val="restart"/>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交如东大恒危险废物处理有限公司处置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三氯苄精馏焦油</w:t>
            </w:r>
          </w:p>
        </w:tc>
        <w:tc>
          <w:tcPr>
            <w:tcW w:w="157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30.78</w:t>
            </w:r>
          </w:p>
        </w:tc>
        <w:tc>
          <w:tcPr>
            <w:tcW w:w="166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三氯苄</w:t>
            </w:r>
          </w:p>
        </w:tc>
        <w:tc>
          <w:tcPr>
            <w:tcW w:w="1695" w:type="dxa"/>
            <w:vMerge w:val="continue"/>
            <w:tcBorders>
              <w:tl2br w:val="nil"/>
              <w:tr2bl w:val="nil"/>
            </w:tcBorders>
            <w:noWrap w:val="0"/>
            <w:vAlign w:val="center"/>
          </w:tcPr>
          <w:p>
            <w:pPr>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合成废催化剂</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HW14</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12</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三氯化铁等</w:t>
            </w:r>
          </w:p>
        </w:tc>
        <w:tc>
          <w:tcPr>
            <w:tcW w:w="169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由生产厂家回收活化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苯甲酰氯精馏焦油</w:t>
            </w:r>
          </w:p>
        </w:tc>
        <w:tc>
          <w:tcPr>
            <w:tcW w:w="157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18.54</w:t>
            </w:r>
          </w:p>
        </w:tc>
        <w:tc>
          <w:tcPr>
            <w:tcW w:w="166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苯甲酰氯等</w:t>
            </w:r>
          </w:p>
        </w:tc>
        <w:tc>
          <w:tcPr>
            <w:tcW w:w="1695" w:type="dxa"/>
            <w:vMerge w:val="restart"/>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交如东大恒危险废物处理有限公司处置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有机不溶物滤渣</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HW11</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62.71</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有机高沸物等</w:t>
            </w:r>
          </w:p>
        </w:tc>
        <w:tc>
          <w:tcPr>
            <w:tcW w:w="1695" w:type="dxa"/>
            <w:vMerge w:val="continue"/>
            <w:tcBorders>
              <w:tl2br w:val="nil"/>
              <w:tr2bl w:val="nil"/>
            </w:tcBorders>
            <w:noWrap w:val="0"/>
            <w:vAlign w:val="center"/>
          </w:tcPr>
          <w:p>
            <w:pPr>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kern w:val="2"/>
                <w:sz w:val="21"/>
                <w:szCs w:val="21"/>
                <w:lang w:val="en-US" w:eastAsia="zh-CN" w:bidi="ar-SA"/>
              </w:rPr>
            </w:pPr>
            <w:r>
              <w:rPr>
                <w:rFonts w:hint="eastAsia" w:ascii="Times New Roman" w:hAnsi="Times New Roman" w:eastAsia="宋体"/>
                <w:szCs w:val="21"/>
              </w:rPr>
              <w:t>沉淀分离物、</w:t>
            </w:r>
            <w:r>
              <w:rPr>
                <w:rFonts w:ascii="Times New Roman" w:hAnsi="Times New Roman" w:eastAsia="宋体"/>
                <w:szCs w:val="21"/>
              </w:rPr>
              <w:t>污泥</w:t>
            </w:r>
            <w:r>
              <w:rPr>
                <w:rFonts w:hint="eastAsia" w:ascii="Times New Roman" w:hAnsi="Times New Roman" w:eastAsia="宋体"/>
                <w:szCs w:val="21"/>
              </w:rPr>
              <w:t>等</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HW42</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6.42</w:t>
            </w:r>
          </w:p>
        </w:tc>
        <w:tc>
          <w:tcPr>
            <w:tcW w:w="1665" w:type="dxa"/>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有机物等</w:t>
            </w:r>
          </w:p>
        </w:tc>
        <w:tc>
          <w:tcPr>
            <w:tcW w:w="1695" w:type="dxa"/>
            <w:vMerge w:val="restart"/>
            <w:tcBorders>
              <w:tl2br w:val="nil"/>
              <w:tr2bl w:val="nil"/>
            </w:tcBorders>
            <w:noWrap w:val="0"/>
            <w:vAlign w:val="center"/>
          </w:tcPr>
          <w:p>
            <w:pPr>
              <w:jc w:val="center"/>
              <w:rPr>
                <w:rFonts w:ascii="Times New Roman" w:hAnsi="Times New Roman" w:eastAsia="宋体"/>
                <w:szCs w:val="21"/>
              </w:rPr>
            </w:pPr>
            <w:r>
              <w:rPr>
                <w:rFonts w:hint="eastAsia" w:ascii="Times New Roman" w:hAnsi="Times New Roman" w:eastAsia="宋体"/>
                <w:szCs w:val="21"/>
              </w:rPr>
              <w:t>交</w:t>
            </w:r>
            <w:r>
              <w:rPr>
                <w:rFonts w:hint="eastAsia" w:ascii="Times New Roman" w:hAnsi="Times New Roman" w:eastAsia="宋体"/>
                <w:szCs w:val="28"/>
              </w:rPr>
              <w:t>如东大恒危险废物处理有限公司</w:t>
            </w:r>
            <w:r>
              <w:rPr>
                <w:rFonts w:hint="eastAsia" w:ascii="Times New Roman" w:hAnsi="Times New Roman" w:eastAsia="宋体"/>
                <w:sz w:val="24"/>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kern w:val="2"/>
                <w:sz w:val="21"/>
                <w:szCs w:val="21"/>
                <w:lang w:val="en-US" w:eastAsia="zh-CN" w:bidi="ar-SA"/>
              </w:rPr>
            </w:pPr>
            <w:r>
              <w:rPr>
                <w:rFonts w:hint="eastAsia" w:ascii="Times New Roman" w:hAnsi="Times New Roman" w:eastAsia="宋体"/>
                <w:szCs w:val="21"/>
              </w:rPr>
              <w:t>釜底残液以及残渣</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ascii="Times New Roman" w:hAnsi="Times New Roman" w:eastAsia="宋体"/>
                <w:szCs w:val="21"/>
              </w:rPr>
              <w:t>HW</w:t>
            </w:r>
            <w:r>
              <w:rPr>
                <w:rFonts w:hint="eastAsia" w:ascii="Times New Roman" w:hAnsi="Times New Roman" w:eastAsia="宋体"/>
                <w:szCs w:val="21"/>
              </w:rPr>
              <w:t>04</w:t>
            </w:r>
          </w:p>
        </w:tc>
        <w:tc>
          <w:tcPr>
            <w:tcW w:w="1230" w:type="dxa"/>
            <w:tcBorders>
              <w:tl2br w:val="nil"/>
              <w:tr2bl w:val="nil"/>
            </w:tcBorders>
            <w:noWrap w:val="0"/>
            <w:vAlign w:val="center"/>
          </w:tcPr>
          <w:p>
            <w:pPr>
              <w:jc w:val="center"/>
              <w:rPr>
                <w:rFonts w:hint="default" w:ascii="Times New Roman" w:hAnsi="Times New Roman" w:eastAsia="宋体"/>
                <w:szCs w:val="21"/>
                <w:lang w:val="en-US" w:eastAsia="zh-CN"/>
              </w:rPr>
            </w:pPr>
            <w:r>
              <w:rPr>
                <w:rFonts w:hint="eastAsia" w:ascii="Times New Roman" w:hAnsi="Times New Roman" w:eastAsia="宋体"/>
                <w:szCs w:val="21"/>
                <w:lang w:val="en-US" w:eastAsia="zh-CN"/>
              </w:rPr>
              <w:t>44.07</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残渣、残液</w:t>
            </w:r>
          </w:p>
        </w:tc>
        <w:tc>
          <w:tcPr>
            <w:tcW w:w="1695" w:type="dxa"/>
            <w:vMerge w:val="continue"/>
            <w:tcBorders>
              <w:tl2br w:val="nil"/>
              <w:tr2bl w:val="nil"/>
            </w:tcBorders>
            <w:noWrap w:val="0"/>
            <w:vAlign w:val="center"/>
          </w:tcPr>
          <w:p>
            <w:pPr>
              <w:jc w:val="center"/>
              <w:rPr>
                <w:rFonts w:hint="eastAsia"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kern w:val="2"/>
                <w:sz w:val="21"/>
                <w:szCs w:val="21"/>
                <w:lang w:val="en-US" w:eastAsia="zh-CN" w:bidi="ar-SA"/>
              </w:rPr>
            </w:pPr>
            <w:r>
              <w:rPr>
                <w:rFonts w:hint="eastAsia" w:ascii="Times New Roman" w:hAnsi="Times New Roman" w:eastAsia="宋体"/>
                <w:szCs w:val="21"/>
              </w:rPr>
              <w:t>废弃包装物</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HW06</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2</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w:t>
            </w:r>
          </w:p>
        </w:tc>
        <w:tc>
          <w:tcPr>
            <w:tcW w:w="1695" w:type="dxa"/>
            <w:vMerge w:val="continue"/>
            <w:tcBorders>
              <w:tl2br w:val="nil"/>
              <w:tr2bl w:val="nil"/>
            </w:tcBorders>
            <w:noWrap w:val="0"/>
            <w:vAlign w:val="center"/>
          </w:tcPr>
          <w:p>
            <w:pPr>
              <w:jc w:val="center"/>
              <w:rPr>
                <w:rFonts w:ascii="Times New Roman" w:hAnsi="Times New Roman" w:eastAsia="宋体"/>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62" w:type="dxa"/>
            <w:tcBorders>
              <w:tl2br w:val="nil"/>
              <w:tr2bl w:val="nil"/>
            </w:tcBorders>
            <w:noWrap w:val="0"/>
            <w:vAlign w:val="center"/>
          </w:tcPr>
          <w:p>
            <w:pPr>
              <w:jc w:val="center"/>
              <w:rPr>
                <w:rFonts w:hint="eastAsia" w:ascii="Times New Roman" w:hAnsi="Times New Roman" w:eastAsia="宋体"/>
                <w:kern w:val="2"/>
                <w:sz w:val="21"/>
                <w:szCs w:val="21"/>
                <w:lang w:val="en-US" w:eastAsia="zh-CN" w:bidi="ar-SA"/>
              </w:rPr>
            </w:pPr>
            <w:r>
              <w:rPr>
                <w:rFonts w:hint="eastAsia" w:ascii="Times New Roman" w:hAnsi="Times New Roman" w:eastAsia="宋体"/>
                <w:szCs w:val="21"/>
              </w:rPr>
              <w:t>含盐废水</w:t>
            </w:r>
          </w:p>
        </w:tc>
        <w:tc>
          <w:tcPr>
            <w:tcW w:w="157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99</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123.4</w:t>
            </w:r>
          </w:p>
        </w:tc>
        <w:tc>
          <w:tcPr>
            <w:tcW w:w="166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NaCl</w:t>
            </w:r>
          </w:p>
        </w:tc>
        <w:tc>
          <w:tcPr>
            <w:tcW w:w="1695"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外售给吉利精细化工研究所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162" w:type="dxa"/>
            <w:tcBorders>
              <w:tl2br w:val="nil"/>
              <w:tr2bl w:val="nil"/>
            </w:tcBorders>
            <w:noWrap w:val="0"/>
            <w:vAlign w:val="center"/>
          </w:tcPr>
          <w:p>
            <w:pPr>
              <w:jc w:val="center"/>
              <w:rPr>
                <w:rFonts w:ascii="Times New Roman" w:hAnsi="Times New Roman" w:eastAsia="宋体"/>
                <w:kern w:val="2"/>
                <w:sz w:val="21"/>
                <w:szCs w:val="21"/>
                <w:lang w:val="en-US" w:eastAsia="zh-CN" w:bidi="ar-SA"/>
              </w:rPr>
            </w:pPr>
            <w:r>
              <w:rPr>
                <w:rFonts w:ascii="Times New Roman" w:hAnsi="Times New Roman" w:eastAsia="宋体"/>
                <w:szCs w:val="21"/>
              </w:rPr>
              <w:t>生活垃圾</w:t>
            </w:r>
          </w:p>
        </w:tc>
        <w:tc>
          <w:tcPr>
            <w:tcW w:w="1575"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99</w:t>
            </w:r>
          </w:p>
        </w:tc>
        <w:tc>
          <w:tcPr>
            <w:tcW w:w="1230" w:type="dxa"/>
            <w:tcBorders>
              <w:tl2br w:val="nil"/>
              <w:tr2bl w:val="nil"/>
            </w:tcBorders>
            <w:noWrap w:val="0"/>
            <w:vAlign w:val="center"/>
          </w:tcPr>
          <w:p>
            <w:pPr>
              <w:jc w:val="center"/>
              <w:rPr>
                <w:rFonts w:hint="eastAsia" w:ascii="Times New Roman" w:hAnsi="Times New Roman" w:eastAsia="宋体"/>
                <w:szCs w:val="21"/>
              </w:rPr>
            </w:pPr>
            <w:r>
              <w:rPr>
                <w:rFonts w:hint="eastAsia" w:ascii="Times New Roman" w:hAnsi="Times New Roman" w:eastAsia="宋体"/>
                <w:szCs w:val="21"/>
              </w:rPr>
              <w:t>12</w:t>
            </w:r>
          </w:p>
        </w:tc>
        <w:tc>
          <w:tcPr>
            <w:tcW w:w="1665"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有机物</w:t>
            </w:r>
          </w:p>
        </w:tc>
        <w:tc>
          <w:tcPr>
            <w:tcW w:w="1695" w:type="dxa"/>
            <w:tcBorders>
              <w:tl2br w:val="nil"/>
              <w:tr2bl w:val="nil"/>
            </w:tcBorders>
            <w:noWrap w:val="0"/>
            <w:vAlign w:val="center"/>
          </w:tcPr>
          <w:p>
            <w:pPr>
              <w:jc w:val="center"/>
              <w:rPr>
                <w:rFonts w:ascii="Times New Roman" w:hAnsi="Times New Roman" w:eastAsia="宋体"/>
                <w:szCs w:val="21"/>
              </w:rPr>
            </w:pPr>
            <w:r>
              <w:rPr>
                <w:rFonts w:ascii="Times New Roman" w:hAnsi="Times New Roman" w:eastAsia="宋体"/>
                <w:szCs w:val="21"/>
              </w:rPr>
              <w:t>由当地环卫部门处理</w:t>
            </w:r>
          </w:p>
        </w:tc>
      </w:tr>
    </w:tbl>
    <w:p>
      <w:pPr>
        <w:pStyle w:val="2"/>
        <w:rPr>
          <w:rFonts w:ascii="Times New Roman" w:hAnsi="Times New Roman" w:eastAsia="宋体"/>
        </w:rPr>
      </w:pPr>
    </w:p>
    <w:p>
      <w:pPr>
        <w:pStyle w:val="2"/>
        <w:outlineLvl w:val="1"/>
        <w:rPr>
          <w:rFonts w:hint="eastAsia" w:ascii="Times New Roman" w:hAnsi="Times New Roman" w:eastAsia="宋体" w:cs="Times New Roman"/>
          <w:sz w:val="28"/>
          <w:szCs w:val="28"/>
          <w:lang w:val="en-US" w:eastAsia="zh-CN"/>
        </w:rPr>
      </w:pPr>
      <w:bookmarkStart w:id="24" w:name="_Toc2177"/>
      <w:r>
        <w:rPr>
          <w:rFonts w:hint="eastAsia" w:ascii="Times New Roman" w:hAnsi="Times New Roman" w:eastAsia="宋体" w:cs="Times New Roman"/>
          <w:sz w:val="28"/>
          <w:szCs w:val="28"/>
          <w:lang w:val="en-US" w:eastAsia="zh-CN"/>
        </w:rPr>
        <w:t>4.4各设施设计的有毒有害物质清单</w:t>
      </w:r>
      <w:bookmarkEnd w:id="24"/>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根据企业提供的环评、验收等资料，结合人员访谈情况，得出企业各设施涉及的有毒有害物质清单见表</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.4-1</w:t>
      </w:r>
      <w:r>
        <w:rPr>
          <w:rFonts w:hint="eastAsia" w:ascii="Times New Roman" w:hAnsi="Times New Roman" w:eastAsia="宋体" w:cs="Times New Roman"/>
          <w:sz w:val="24"/>
          <w:szCs w:val="24"/>
          <w:lang w:val="en-US" w:eastAsia="zh-CN"/>
        </w:rPr>
        <w:t>。</w:t>
      </w:r>
    </w:p>
    <w:p>
      <w:pPr>
        <w:spacing w:line="360" w:lineRule="auto"/>
        <w:ind w:firstLine="482" w:firstLineChars="200"/>
        <w:jc w:val="center"/>
        <w:rPr>
          <w:rFonts w:hint="default" w:ascii="Times New Roman" w:hAnsi="Times New Roman" w:eastAsia="宋体" w:cs="Times New Roman"/>
          <w:b/>
          <w:bCs w:val="0"/>
          <w:sz w:val="28"/>
          <w:szCs w:val="28"/>
          <w:lang w:val="en-US" w:eastAsia="zh-CN"/>
        </w:rPr>
      </w:pPr>
      <w:r>
        <w:rPr>
          <w:rFonts w:hint="eastAsia" w:ascii="Times New Roman" w:hAnsi="Times New Roman" w:eastAsia="宋体" w:cs="Times New Roman"/>
          <w:b/>
          <w:bCs w:val="0"/>
          <w:sz w:val="24"/>
          <w:szCs w:val="24"/>
          <w:lang w:val="en-US" w:eastAsia="zh-CN"/>
        </w:rPr>
        <w:t>表4.4-1 各设施涉及的有毒有害物质清单</w:t>
      </w:r>
    </w:p>
    <w:tbl>
      <w:tblPr>
        <w:tblStyle w:val="21"/>
        <w:tblW w:w="82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871"/>
        <w:gridCol w:w="2284"/>
        <w:gridCol w:w="29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区域名称</w:t>
            </w: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设施</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lang w:val="en-US" w:eastAsia="zh-CN"/>
              </w:rPr>
              <w:t>设施功能</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lang w:val="en-US" w:eastAsia="zh-CN"/>
              </w:rPr>
              <w:t>涉及有毒有害物质清单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生产区</w:t>
            </w: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频哪酮车间</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生产频哪酮</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频哪酮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氯化苄联产车间（3,5-二氯苯甲酰氯联产车间）</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生产3,5-二氯苯甲酰氯联产</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3,5-二氯苯甲酰氯</w:t>
            </w:r>
            <w:r>
              <w:rPr>
                <w:rFonts w:hint="eastAsia" w:ascii="Times New Roman" w:hAnsi="Times New Roman" w:eastAsia="宋体" w:cs="Times New Roman"/>
                <w:bCs/>
                <w:sz w:val="21"/>
                <w:szCs w:val="21"/>
                <w:vertAlign w:val="baseline"/>
                <w:lang w:val="en-US" w:eastAsia="zh-CN"/>
              </w:rPr>
              <w:t>、苯甲酰氯、三氯苯、盐酸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一、二氯频哪酮车间</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生产一、二氯频哪酮</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频哪酮、</w:t>
            </w:r>
            <w:r>
              <w:rPr>
                <w:rFonts w:hint="eastAsia" w:ascii="Times New Roman" w:hAnsi="Times New Roman" w:eastAsia="宋体"/>
                <w:sz w:val="21"/>
                <w:szCs w:val="21"/>
              </w:rPr>
              <w:t>氯化苄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辅助区</w:t>
            </w: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甲类库</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危化品存放区</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频哪酮、甲醇、1,3,5-三氯苯、3,5-二氯苯甲酰氯、一、二氯频哪酮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危废仓库</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危废存放区</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sz w:val="21"/>
                <w:szCs w:val="21"/>
              </w:rPr>
              <w:t>氯化苄</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苯甲醛、</w:t>
            </w:r>
            <w:r>
              <w:rPr>
                <w:rFonts w:hint="eastAsia" w:ascii="Times New Roman" w:hAnsi="Times New Roman" w:eastAsia="宋体"/>
                <w:sz w:val="21"/>
                <w:szCs w:val="21"/>
              </w:rPr>
              <w:t>苯甲酰氯</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甲醇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sz w:val="21"/>
                <w:szCs w:val="21"/>
                <w:lang w:val="en-US" w:eastAsia="zh-CN"/>
              </w:rPr>
              <w:t>应急池</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原料存放区</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COD、SS、氨氮、总磷、盐分、甲醛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罐区</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罐区</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盐酸、甲醛、异戊烯、甲苯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导热油炉</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color w:val="000000"/>
                <w:kern w:val="0"/>
                <w:sz w:val="21"/>
                <w:szCs w:val="21"/>
                <w:lang w:val="en-US" w:eastAsia="zh-CN" w:bidi="ar"/>
              </w:rPr>
              <w:t>已燃烧天然气</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总石油烃（C</w:t>
            </w:r>
            <w:r>
              <w:rPr>
                <w:rFonts w:hint="eastAsia" w:ascii="Times New Roman" w:hAnsi="Times New Roman" w:eastAsia="宋体" w:cs="Times New Roman"/>
                <w:bCs/>
                <w:sz w:val="21"/>
                <w:szCs w:val="21"/>
                <w:vertAlign w:val="subscript"/>
                <w:lang w:val="en-US" w:eastAsia="zh-CN"/>
              </w:rPr>
              <w:t>10</w:t>
            </w:r>
            <w:r>
              <w:rPr>
                <w:rFonts w:hint="eastAsia" w:ascii="Times New Roman" w:hAnsi="Times New Roman" w:eastAsia="宋体" w:cs="Times New Roman"/>
                <w:bCs/>
                <w:sz w:val="21"/>
                <w:szCs w:val="21"/>
                <w:vertAlign w:val="baseline"/>
                <w:lang w:val="en-US" w:eastAsia="zh-CN"/>
              </w:rPr>
              <w:t>-C</w:t>
            </w:r>
            <w:r>
              <w:rPr>
                <w:rFonts w:hint="eastAsia" w:ascii="Times New Roman" w:hAnsi="Times New Roman" w:eastAsia="宋体" w:cs="Times New Roman"/>
                <w:bCs/>
                <w:sz w:val="21"/>
                <w:szCs w:val="21"/>
                <w:vertAlign w:val="subscript"/>
                <w:lang w:val="en-US" w:eastAsia="zh-CN"/>
              </w:rPr>
              <w:t>40</w:t>
            </w:r>
            <w:r>
              <w:rPr>
                <w:rFonts w:hint="eastAsia" w:ascii="Times New Roman" w:hAnsi="Times New Roman" w:eastAsia="宋体" w:cs="Times New Roman"/>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sz w:val="21"/>
                <w:szCs w:val="21"/>
                <w:vertAlign w:val="baseline"/>
                <w:lang w:val="en-US" w:eastAsia="zh-CN"/>
              </w:rPr>
            </w:pPr>
          </w:p>
        </w:tc>
        <w:tc>
          <w:tcPr>
            <w:tcW w:w="18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污水处理区</w:t>
            </w:r>
          </w:p>
        </w:tc>
        <w:tc>
          <w:tcPr>
            <w:tcW w:w="22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宋体"/>
                <w:color w:val="000000"/>
                <w:kern w:val="0"/>
                <w:sz w:val="21"/>
                <w:szCs w:val="21"/>
                <w:lang w:val="en-US" w:eastAsia="zh-CN" w:bidi="ar"/>
              </w:rPr>
              <w:t>污水处理</w:t>
            </w:r>
          </w:p>
        </w:tc>
        <w:tc>
          <w:tcPr>
            <w:tcW w:w="295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COD、SS、氨氮、总磷、盐分、甲醛</w:t>
            </w:r>
          </w:p>
        </w:tc>
      </w:tr>
    </w:tbl>
    <w:p>
      <w:pPr>
        <w:pStyle w:val="4"/>
        <w:keepNext/>
        <w:keepLines/>
        <w:pageBreakBefore w:val="0"/>
        <w:widowControl w:val="0"/>
        <w:kinsoku/>
        <w:wordWrap/>
        <w:overflowPunct/>
        <w:topLinePunct w:val="0"/>
        <w:autoSpaceDE/>
        <w:autoSpaceDN/>
        <w:bidi w:val="0"/>
        <w:adjustRightInd/>
        <w:snapToGrid/>
        <w:spacing w:before="0" w:after="20" w:line="360" w:lineRule="auto"/>
        <w:textAlignment w:val="auto"/>
        <w:outlineLvl w:val="0"/>
        <w:rPr>
          <w:rFonts w:hint="eastAsia" w:ascii="Times New Roman" w:hAnsi="Times New Roman" w:eastAsia="宋体" w:cs="Times New Roman"/>
          <w:sz w:val="28"/>
          <w:szCs w:val="28"/>
          <w:lang w:val="en-US" w:eastAsia="zh-CN"/>
        </w:rPr>
      </w:pPr>
      <w:bookmarkStart w:id="25" w:name="_Toc12138"/>
      <w:r>
        <w:rPr>
          <w:rFonts w:hint="eastAsia" w:ascii="Times New Roman" w:hAnsi="Times New Roman" w:eastAsia="宋体" w:cs="Times New Roman"/>
          <w:sz w:val="28"/>
          <w:szCs w:val="28"/>
          <w:lang w:val="en-US" w:eastAsia="zh-CN"/>
        </w:rPr>
        <w:t>5重点设施及重点区域识别</w:t>
      </w:r>
      <w:bookmarkEnd w:id="25"/>
    </w:p>
    <w:p>
      <w:pPr>
        <w:pStyle w:val="2"/>
        <w:outlineLvl w:val="1"/>
        <w:rPr>
          <w:rFonts w:hint="eastAsia" w:ascii="Times New Roman" w:hAnsi="Times New Roman" w:eastAsia="宋体" w:cs="Times New Roman"/>
          <w:sz w:val="28"/>
          <w:szCs w:val="28"/>
          <w:lang w:val="en-US" w:eastAsia="zh-CN"/>
        </w:rPr>
      </w:pPr>
      <w:bookmarkStart w:id="26" w:name="_Toc6656"/>
      <w:r>
        <w:rPr>
          <w:rFonts w:hint="eastAsia" w:ascii="Times New Roman" w:hAnsi="Times New Roman" w:eastAsia="宋体" w:cs="Times New Roman"/>
          <w:sz w:val="28"/>
          <w:szCs w:val="28"/>
          <w:lang w:val="en-US" w:eastAsia="zh-CN"/>
        </w:rPr>
        <w:t>5.1重点设施识别</w:t>
      </w:r>
      <w:bookmarkEnd w:id="26"/>
    </w:p>
    <w:p>
      <w:pPr>
        <w:pStyle w:val="2"/>
        <w:numPr>
          <w:ilvl w:val="0"/>
          <w:numId w:val="6"/>
        </w:numPr>
        <w:ind w:firstLine="480" w:firstLineChars="200"/>
        <w:outlineLvl w:val="2"/>
        <w:rPr>
          <w:rFonts w:hint="eastAsia" w:ascii="Times New Roman" w:hAnsi="Times New Roman" w:eastAsia="宋体" w:cs="Times New Roman"/>
          <w:sz w:val="24"/>
          <w:szCs w:val="24"/>
          <w:lang w:val="en-US" w:eastAsia="zh-CN"/>
        </w:rPr>
      </w:pPr>
      <w:bookmarkStart w:id="27" w:name="_Toc5757"/>
      <w:r>
        <w:rPr>
          <w:rFonts w:hint="eastAsia" w:ascii="Times New Roman" w:hAnsi="Times New Roman" w:eastAsia="宋体" w:cs="Times New Roman"/>
          <w:sz w:val="24"/>
          <w:szCs w:val="24"/>
          <w:lang w:val="en-US" w:eastAsia="zh-CN"/>
        </w:rPr>
        <w:t>识别原因</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（1）识别原则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重点设施及重点区域的识别，主要通过对资料收集、现场踏勘、以及人员访谈的调查结果进行分析、评价和总结，根据各区域及设施信息、污染物及其迁移途径等，识别企业内部存在土壤或地下水污染隐患的重点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识别过程主要关注下列设施：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a）涉及有毒有害物质的生产设施；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b）涉及有毒有害物质的原辅材料、产品、固体废物等的堆存、储放、转运设施；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c）贮存或运输有毒有害物质的各类罐槽、管线；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d）三废（废气、废水、固体废物）处理处置或排放区；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e）其他涉及有毒有害物质的设施。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（2）识别过程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基于资料收集、现场踏勘、以及人员访谈的调查结果，并综合考虑污染源分布、污染物类型、污染物迁移途径等因素，项目组对重点设施及区域进行了识别。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企业内识别的重点污染区域包括：</w:t>
      </w:r>
      <w:r>
        <w:rPr>
          <w:rFonts w:hint="eastAsia" w:ascii="Times New Roman" w:hAnsi="Times New Roman" w:eastAsia="宋体" w:cs="宋体"/>
          <w:sz w:val="24"/>
          <w:szCs w:val="24"/>
          <w:lang w:val="en-US" w:eastAsia="zh-CN"/>
        </w:rPr>
        <w:t>频哪酮车间</w:t>
      </w:r>
      <w:r>
        <w:rPr>
          <w:rFonts w:hint="eastAsia" w:ascii="Times New Roman" w:hAnsi="Times New Roman" w:eastAsia="宋体" w:cs="Times New Roman"/>
          <w:sz w:val="24"/>
          <w:szCs w:val="24"/>
          <w:lang w:val="en-US" w:eastAsia="zh-CN"/>
        </w:rPr>
        <w:t>、</w:t>
      </w:r>
      <w:r>
        <w:rPr>
          <w:rFonts w:hint="eastAsia" w:ascii="Times New Roman" w:hAnsi="Times New Roman" w:eastAsia="宋体" w:cs="宋体"/>
          <w:sz w:val="24"/>
          <w:szCs w:val="24"/>
          <w:lang w:val="en-US" w:eastAsia="zh-CN"/>
        </w:rPr>
        <w:t>氯化苄联产车间</w:t>
      </w:r>
      <w:r>
        <w:rPr>
          <w:rFonts w:hint="eastAsia" w:ascii="Times New Roman" w:hAnsi="Times New Roman" w:eastAsia="宋体" w:cs="Times New Roman"/>
          <w:sz w:val="24"/>
          <w:szCs w:val="24"/>
          <w:lang w:val="en-US" w:eastAsia="zh-CN"/>
        </w:rPr>
        <w:t>、</w:t>
      </w:r>
      <w:r>
        <w:rPr>
          <w:rFonts w:hint="eastAsia" w:ascii="Times New Roman" w:hAnsi="Times New Roman" w:eastAsia="宋体" w:cs="宋体"/>
          <w:sz w:val="24"/>
          <w:szCs w:val="24"/>
          <w:lang w:val="en-US" w:eastAsia="zh-CN"/>
        </w:rPr>
        <w:t>一、二氯频哪酮车间</w:t>
      </w:r>
      <w:r>
        <w:rPr>
          <w:rFonts w:hint="eastAsia" w:ascii="Times New Roman" w:hAnsi="Times New Roman" w:eastAsia="宋体" w:cs="Times New Roman"/>
          <w:bCs/>
          <w:sz w:val="24"/>
          <w:szCs w:val="24"/>
          <w:vertAlign w:val="baseline"/>
          <w:lang w:val="en-US" w:eastAsia="zh-CN"/>
        </w:rPr>
        <w:t>、</w:t>
      </w:r>
      <w:r>
        <w:rPr>
          <w:rFonts w:hint="eastAsia" w:ascii="Times New Roman" w:hAnsi="Times New Roman" w:eastAsia="宋体" w:cs="Times New Roman"/>
          <w:sz w:val="24"/>
          <w:szCs w:val="24"/>
          <w:lang w:val="en-US" w:eastAsia="zh-CN"/>
        </w:rPr>
        <w:t>甲类库、</w:t>
      </w:r>
      <w:r>
        <w:rPr>
          <w:rFonts w:hint="eastAsia" w:ascii="Times New Roman" w:hAnsi="Times New Roman" w:eastAsia="宋体" w:cs="宋体"/>
          <w:sz w:val="24"/>
          <w:szCs w:val="24"/>
          <w:lang w:val="en-US" w:eastAsia="zh-CN"/>
        </w:rPr>
        <w:t>应急池</w:t>
      </w:r>
      <w:r>
        <w:rPr>
          <w:rFonts w:hint="eastAsia" w:ascii="Times New Roman" w:hAnsi="Times New Roman" w:eastAsia="宋体" w:cs="Times New Roman"/>
          <w:sz w:val="24"/>
          <w:szCs w:val="24"/>
          <w:lang w:val="en-US" w:eastAsia="zh-CN"/>
        </w:rPr>
        <w:t>、危废仓库、罐区、污水处理区。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eastAsia" w:ascii="Times New Roman" w:hAnsi="Times New Roman" w:eastAsia="宋体" w:cs="宋体"/>
          <w:sz w:val="24"/>
          <w:szCs w:val="24"/>
          <w:lang w:val="en-US" w:eastAsia="zh-CN"/>
        </w:rPr>
        <w:t>频哪酮车间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宋体"/>
          <w:sz w:val="24"/>
          <w:szCs w:val="24"/>
          <w:lang w:val="en-US" w:eastAsia="zh-CN"/>
        </w:rPr>
        <w:t>车间</w:t>
      </w:r>
      <w:r>
        <w:rPr>
          <w:rFonts w:hint="eastAsia" w:ascii="Times New Roman" w:hAnsi="Times New Roman" w:eastAsia="宋体" w:cs="Times New Roman"/>
          <w:sz w:val="24"/>
          <w:szCs w:val="24"/>
          <w:lang w:val="en-US" w:eastAsia="zh-CN"/>
        </w:rPr>
        <w:t>地面均已硬化</w:t>
      </w:r>
      <w:r>
        <w:rPr>
          <w:rFonts w:hint="eastAsia" w:ascii="Times New Roman" w:hAnsi="Times New Roman" w:eastAsia="宋体" w:cs="宋体"/>
          <w:color w:val="000000"/>
          <w:kern w:val="0"/>
          <w:sz w:val="24"/>
          <w:szCs w:val="24"/>
          <w:lang w:val="en-US" w:eastAsia="zh-CN" w:bidi="ar"/>
        </w:rPr>
        <w:t>，无明显裂缝</w:t>
      </w:r>
      <w:r>
        <w:rPr>
          <w:rFonts w:hint="eastAsia" w:ascii="Times New Roman" w:hAnsi="Times New Roman" w:eastAsia="宋体" w:cs="Times New Roman"/>
          <w:sz w:val="24"/>
          <w:szCs w:val="24"/>
          <w:lang w:val="en-US" w:eastAsia="zh-CN"/>
        </w:rPr>
        <w:t>。</w:t>
      </w:r>
    </w:p>
    <w:p>
      <w:pPr>
        <w:pStyle w:val="2"/>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5264150" cy="2961005"/>
            <wp:effectExtent l="0" t="0" r="12700" b="10795"/>
            <wp:docPr id="24" name="图片 24" descr="9704bd39a0382c1cc59082bf7eea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704bd39a0382c1cc59082bf7eeae22"/>
                    <pic:cNvPicPr>
                      <a:picLocks noChangeAspect="1"/>
                    </pic:cNvPicPr>
                  </pic:nvPicPr>
                  <pic:blipFill>
                    <a:blip r:embed="rId27"/>
                    <a:stretch>
                      <a:fillRect/>
                    </a:stretch>
                  </pic:blipFill>
                  <pic:spPr>
                    <a:xfrm>
                      <a:off x="0" y="0"/>
                      <a:ext cx="5264150" cy="29610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w:t>
      </w:r>
      <w:r>
        <w:rPr>
          <w:rFonts w:hint="eastAsia" w:ascii="Times New Roman" w:hAnsi="Times New Roman" w:eastAsia="宋体" w:cs="宋体"/>
          <w:sz w:val="24"/>
          <w:szCs w:val="24"/>
          <w:lang w:val="en-US" w:eastAsia="zh-CN"/>
        </w:rPr>
        <w:t>氯化苄联产车间</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宋体"/>
          <w:sz w:val="24"/>
          <w:szCs w:val="24"/>
          <w:lang w:val="en-US" w:eastAsia="zh-CN"/>
        </w:rPr>
        <w:t>车间</w:t>
      </w:r>
      <w:r>
        <w:rPr>
          <w:rFonts w:hint="eastAsia" w:ascii="Times New Roman" w:hAnsi="Times New Roman" w:eastAsia="宋体" w:cs="Times New Roman"/>
          <w:sz w:val="24"/>
          <w:szCs w:val="24"/>
          <w:lang w:val="en-US" w:eastAsia="zh-CN"/>
        </w:rPr>
        <w:t>地面均已硬化</w:t>
      </w:r>
      <w:r>
        <w:rPr>
          <w:rFonts w:hint="eastAsia" w:ascii="Times New Roman" w:hAnsi="Times New Roman" w:eastAsia="宋体" w:cs="宋体"/>
          <w:color w:val="000000"/>
          <w:kern w:val="0"/>
          <w:sz w:val="24"/>
          <w:szCs w:val="24"/>
          <w:lang w:val="en-US" w:eastAsia="zh-CN" w:bidi="ar"/>
        </w:rPr>
        <w:t>，无明显裂缝</w:t>
      </w:r>
      <w:r>
        <w:rPr>
          <w:rFonts w:hint="eastAsia" w:ascii="Times New Roman" w:hAnsi="Times New Roman" w:eastAsia="宋体" w:cs="Times New Roman"/>
          <w:sz w:val="24"/>
          <w:szCs w:val="24"/>
          <w:lang w:val="en-US" w:eastAsia="zh-CN"/>
        </w:rPr>
        <w:t>。</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5267325" cy="2963545"/>
            <wp:effectExtent l="0" t="0" r="9525" b="8255"/>
            <wp:docPr id="23" name="图片 23" descr="66b291b00daa69a3080b37559adc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6b291b00daa69a3080b37559adc991"/>
                    <pic:cNvPicPr>
                      <a:picLocks noChangeAspect="1"/>
                    </pic:cNvPicPr>
                  </pic:nvPicPr>
                  <pic:blipFill>
                    <a:blip r:embed="rId28"/>
                    <a:stretch>
                      <a:fillRect/>
                    </a:stretch>
                  </pic:blipFill>
                  <pic:spPr>
                    <a:xfrm>
                      <a:off x="0" y="0"/>
                      <a:ext cx="5267325" cy="29635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宋体"/>
          <w:sz w:val="24"/>
          <w:szCs w:val="24"/>
          <w:lang w:val="en-US" w:eastAsia="zh-CN"/>
        </w:rPr>
        <w:t>③一、二氯频哪酮车间</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val="en-US" w:eastAsia="zh-CN"/>
        </w:rPr>
        <w:t>车间内地面均已硬化，无明显裂痕</w:t>
      </w:r>
      <w:r>
        <w:rPr>
          <w:rFonts w:hint="eastAsia" w:ascii="Times New Roman" w:hAnsi="Times New Roman" w:eastAsia="宋体" w:cs="Times New Roman"/>
          <w:kern w:val="2"/>
          <w:sz w:val="24"/>
          <w:szCs w:val="24"/>
          <w:lang w:val="en-US" w:eastAsia="zh-CN" w:bidi="ar-SA"/>
        </w:rPr>
        <w:t>。</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5262245" cy="2961005"/>
            <wp:effectExtent l="0" t="0" r="14605" b="10795"/>
            <wp:docPr id="1" name="图片 1" descr="2030ea7e10a7d025405f079c69b9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30ea7e10a7d025405f079c69b9ecf"/>
                    <pic:cNvPicPr>
                      <a:picLocks noChangeAspect="1"/>
                    </pic:cNvPicPr>
                  </pic:nvPicPr>
                  <pic:blipFill>
                    <a:blip r:embed="rId29"/>
                    <a:stretch>
                      <a:fillRect/>
                    </a:stretch>
                  </pic:blipFill>
                  <pic:spPr>
                    <a:xfrm>
                      <a:off x="0" y="0"/>
                      <a:ext cx="5262245" cy="29610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宋体"/>
          <w:sz w:val="24"/>
          <w:szCs w:val="24"/>
          <w:lang w:val="en-US" w:eastAsia="zh-CN"/>
        </w:rPr>
        <w:t>④甲类库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lang w:val="en-US" w:eastAsia="zh-CN"/>
        </w:rPr>
      </w:pPr>
      <w:r>
        <w:rPr>
          <w:rFonts w:hint="eastAsia" w:ascii="Times New Roman" w:hAnsi="Times New Roman" w:eastAsia="宋体" w:cs="Times New Roman"/>
          <w:sz w:val="24"/>
          <w:szCs w:val="24"/>
          <w:lang w:val="en-US" w:eastAsia="zh-CN"/>
        </w:rPr>
        <w:t>地面均已硬化</w:t>
      </w:r>
      <w:r>
        <w:rPr>
          <w:rFonts w:hint="eastAsia" w:ascii="Times New Roman" w:hAnsi="Times New Roman" w:eastAsia="宋体" w:cs="宋体"/>
          <w:color w:val="000000"/>
          <w:kern w:val="0"/>
          <w:sz w:val="24"/>
          <w:szCs w:val="24"/>
          <w:lang w:val="en-US" w:eastAsia="zh-CN" w:bidi="ar"/>
        </w:rPr>
        <w:t>，无明显裂缝</w:t>
      </w:r>
      <w:r>
        <w:rPr>
          <w:rFonts w:hint="eastAsia" w:ascii="Times New Roman" w:hAnsi="Times New Roman" w:eastAsia="宋体"/>
          <w:lang w:val="en-US" w:eastAsia="zh-CN"/>
        </w:rPr>
        <w:t>。</w:t>
      </w:r>
    </w:p>
    <w:p>
      <w:pPr>
        <w:pStyle w:val="2"/>
        <w:rPr>
          <w:rFonts w:hint="eastAsia" w:ascii="Times New Roman" w:hAnsi="Times New Roman" w:eastAsia="宋体"/>
          <w:lang w:val="en-US" w:eastAsia="zh-CN"/>
        </w:rPr>
      </w:pPr>
      <w:r>
        <w:rPr>
          <w:rFonts w:hint="eastAsia" w:ascii="Times New Roman" w:hAnsi="Times New Roman" w:eastAsia="宋体"/>
          <w:lang w:val="en-US" w:eastAsia="zh-CN"/>
        </w:rPr>
        <w:drawing>
          <wp:inline distT="0" distB="0" distL="114300" distR="114300">
            <wp:extent cx="5266690" cy="2962910"/>
            <wp:effectExtent l="0" t="0" r="10160" b="8890"/>
            <wp:docPr id="25" name="图片 25" descr="8ca91334ef00f0032fa1c46a4ad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ca91334ef00f0032fa1c46a4ad8978"/>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宋体"/>
          <w:sz w:val="24"/>
          <w:szCs w:val="24"/>
          <w:lang w:val="en-US" w:eastAsia="zh-CN"/>
        </w:rPr>
        <w:t>⑤</w:t>
      </w:r>
      <w:r>
        <w:rPr>
          <w:rFonts w:hint="eastAsia" w:ascii="Times New Roman" w:hAnsi="Times New Roman" w:eastAsia="宋体" w:cs="Times New Roman"/>
          <w:bCs/>
          <w:sz w:val="24"/>
          <w:szCs w:val="24"/>
          <w:vertAlign w:val="baseline"/>
          <w:lang w:val="en-US" w:eastAsia="zh-CN"/>
        </w:rPr>
        <w:t>地下罐区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Times New Roman"/>
          <w:sz w:val="24"/>
          <w:szCs w:val="24"/>
          <w:lang w:val="en-US" w:eastAsia="zh-CN"/>
        </w:rPr>
        <w:t>地面均已硬化</w:t>
      </w:r>
      <w:r>
        <w:rPr>
          <w:rFonts w:hint="eastAsia" w:ascii="Times New Roman" w:hAnsi="Times New Roman" w:eastAsia="宋体" w:cs="宋体"/>
          <w:color w:val="000000"/>
          <w:kern w:val="0"/>
          <w:sz w:val="24"/>
          <w:szCs w:val="24"/>
          <w:lang w:val="en-US" w:eastAsia="zh-CN" w:bidi="ar"/>
        </w:rPr>
        <w:t>，无明显裂缝。</w:t>
      </w:r>
    </w:p>
    <w:p>
      <w:pPr>
        <w:pStyle w:val="2"/>
        <w:rPr>
          <w:rFonts w:hint="default" w:ascii="Times New Roman" w:hAnsi="Times New Roman" w:eastAsia="宋体"/>
          <w:lang w:val="en-US" w:eastAsia="zh-CN"/>
        </w:rPr>
      </w:pPr>
      <w:r>
        <w:rPr>
          <w:rFonts w:hint="default" w:ascii="Times New Roman" w:hAnsi="Times New Roman" w:eastAsia="宋体"/>
          <w:lang w:val="en-US" w:eastAsia="zh-CN"/>
        </w:rPr>
        <w:drawing>
          <wp:inline distT="0" distB="0" distL="114300" distR="114300">
            <wp:extent cx="5258435" cy="2958465"/>
            <wp:effectExtent l="0" t="0" r="18415" b="13335"/>
            <wp:docPr id="26" name="图片 26" descr="f4021d277e522c69caa1a8c746a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4021d277e522c69caa1a8c746a4545"/>
                    <pic:cNvPicPr>
                      <a:picLocks noChangeAspect="1"/>
                    </pic:cNvPicPr>
                  </pic:nvPicPr>
                  <pic:blipFill>
                    <a:blip r:embed="rId31"/>
                    <a:stretch>
                      <a:fillRect/>
                    </a:stretch>
                  </pic:blipFill>
                  <pic:spPr>
                    <a:xfrm>
                      <a:off x="0" y="0"/>
                      <a:ext cx="5258435" cy="29584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⑥</w:t>
      </w:r>
      <w:r>
        <w:rPr>
          <w:rFonts w:hint="eastAsia" w:ascii="Times New Roman" w:hAnsi="Times New Roman" w:eastAsia="宋体" w:cs="Times New Roman"/>
          <w:sz w:val="24"/>
          <w:szCs w:val="24"/>
          <w:lang w:val="en-US" w:eastAsia="zh-CN"/>
        </w:rPr>
        <w:t>污水站</w:t>
      </w:r>
    </w:p>
    <w:p>
      <w:pPr>
        <w:pStyle w:val="2"/>
        <w:ind w:firstLine="480" w:firstLineChars="200"/>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地面均已硬化，无明显裂痕，生产废水的跑冒滴漏渗漏可能导致土壤和地下水污染。</w:t>
      </w:r>
    </w:p>
    <w:p>
      <w:pPr>
        <w:pStyle w:val="2"/>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drawing>
          <wp:inline distT="0" distB="0" distL="114300" distR="114300">
            <wp:extent cx="5268595" cy="2961005"/>
            <wp:effectExtent l="0" t="0" r="8255" b="10795"/>
            <wp:docPr id="27" name="图片 27" descr="877bef21aae6929fe7d171d786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877bef21aae6929fe7d171d78617843"/>
                    <pic:cNvPicPr>
                      <a:picLocks noChangeAspect="1"/>
                    </pic:cNvPicPr>
                  </pic:nvPicPr>
                  <pic:blipFill>
                    <a:blip r:embed="rId32"/>
                    <a:stretch>
                      <a:fillRect/>
                    </a:stretch>
                  </pic:blipFill>
                  <pic:spPr>
                    <a:xfrm>
                      <a:off x="0" y="0"/>
                      <a:ext cx="5268595" cy="29610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宋体"/>
          <w:sz w:val="24"/>
          <w:szCs w:val="24"/>
          <w:lang w:val="en-US" w:eastAsia="zh-CN"/>
        </w:rPr>
        <w:t>⑦</w:t>
      </w:r>
      <w:r>
        <w:rPr>
          <w:rFonts w:hint="eastAsia" w:ascii="Times New Roman" w:hAnsi="Times New Roman" w:eastAsia="宋体" w:cs="Times New Roman"/>
          <w:sz w:val="24"/>
          <w:szCs w:val="24"/>
          <w:lang w:val="en-US" w:eastAsia="zh-CN"/>
        </w:rPr>
        <w:t>危废仓库及盐酸罐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危险固废暂存库位于厂区南侧，地面已按照要求采用防渗的环氧地坪，无明显裂缝，盐酸罐区地面以作防渗。</w:t>
      </w:r>
    </w:p>
    <w:p>
      <w:pPr>
        <w:pStyle w:val="2"/>
        <w:jc w:val="center"/>
        <w:rPr>
          <w:rFonts w:hint="eastAsia" w:ascii="Times New Roman" w:hAnsi="Times New Roman" w:eastAsia="宋体"/>
          <w:lang w:val="en-US" w:eastAsia="zh-CN"/>
        </w:rPr>
      </w:pPr>
      <w:r>
        <w:rPr>
          <w:rFonts w:hint="eastAsia" w:ascii="Times New Roman" w:hAnsi="Times New Roman" w:eastAsia="宋体"/>
          <w:lang w:val="en-US" w:eastAsia="zh-CN"/>
        </w:rPr>
        <w:drawing>
          <wp:inline distT="0" distB="0" distL="114300" distR="114300">
            <wp:extent cx="5274310" cy="2966720"/>
            <wp:effectExtent l="0" t="0" r="2540" b="5080"/>
            <wp:docPr id="2" name="图片 2" descr="e25ebbd6277c24be13023422e0e4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5ebbd6277c24be13023422e0e46dd"/>
                    <pic:cNvPicPr>
                      <a:picLocks noChangeAspect="1"/>
                    </pic:cNvPicPr>
                  </pic:nvPicPr>
                  <pic:blipFill>
                    <a:blip r:embed="rId33"/>
                    <a:stretch>
                      <a:fillRect/>
                    </a:stretch>
                  </pic:blipFill>
                  <pic:spPr>
                    <a:xfrm>
                      <a:off x="0" y="0"/>
                      <a:ext cx="5274310" cy="2966720"/>
                    </a:xfrm>
                    <a:prstGeom prst="rect">
                      <a:avLst/>
                    </a:prstGeom>
                  </pic:spPr>
                </pic:pic>
              </a:graphicData>
            </a:graphic>
          </wp:inline>
        </w:drawing>
      </w:r>
    </w:p>
    <w:p>
      <w:pPr>
        <w:pStyle w:val="2"/>
        <w:numPr>
          <w:ilvl w:val="0"/>
          <w:numId w:val="6"/>
        </w:numPr>
        <w:ind w:left="0" w:leftChars="0" w:firstLine="480" w:firstLineChars="200"/>
        <w:outlineLvl w:val="2"/>
        <w:rPr>
          <w:rFonts w:hint="eastAsia" w:ascii="Times New Roman" w:hAnsi="Times New Roman" w:eastAsia="宋体" w:cs="Times New Roman"/>
          <w:sz w:val="24"/>
          <w:szCs w:val="24"/>
          <w:lang w:val="en-US" w:eastAsia="zh-CN"/>
        </w:rPr>
      </w:pPr>
      <w:bookmarkStart w:id="28" w:name="_Toc7612"/>
      <w:r>
        <w:rPr>
          <w:rFonts w:hint="eastAsia" w:ascii="Times New Roman" w:hAnsi="Times New Roman" w:eastAsia="宋体" w:cs="Times New Roman"/>
          <w:sz w:val="24"/>
          <w:szCs w:val="24"/>
          <w:lang w:val="en-US" w:eastAsia="zh-CN"/>
        </w:rPr>
        <w:t>关注污染物</w:t>
      </w:r>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4" w:firstLineChars="200"/>
        <w:textAlignment w:val="auto"/>
        <w:outlineLvl w:val="9"/>
        <w:rPr>
          <w:rFonts w:hint="eastAsia" w:ascii="Times New Roman" w:hAnsi="Times New Roman" w:eastAsia="宋体"/>
          <w:sz w:val="24"/>
          <w:szCs w:val="24"/>
          <w:lang w:eastAsia="zh-CN"/>
        </w:rPr>
      </w:pPr>
      <w:r>
        <w:rPr>
          <w:rFonts w:ascii="Times New Roman" w:hAnsi="Times New Roman" w:eastAsia="宋体"/>
          <w:spacing w:val="-9"/>
          <w:sz w:val="24"/>
          <w:szCs w:val="24"/>
        </w:rPr>
        <w:t xml:space="preserve">各设施关注的污染物见表 </w:t>
      </w:r>
      <w:r>
        <w:rPr>
          <w:rFonts w:hint="eastAsia" w:ascii="Times New Roman" w:hAnsi="Times New Roman" w:eastAsia="宋体"/>
          <w:sz w:val="24"/>
          <w:szCs w:val="24"/>
          <w:lang w:val="en-US" w:eastAsia="zh-CN"/>
        </w:rPr>
        <w:t>5</w:t>
      </w:r>
      <w:r>
        <w:rPr>
          <w:rFonts w:ascii="Times New Roman" w:hAnsi="Times New Roman" w:eastAsia="宋体"/>
          <w:sz w:val="24"/>
          <w:szCs w:val="24"/>
        </w:rPr>
        <w:t>.1.2-1</w:t>
      </w:r>
      <w:r>
        <w:rPr>
          <w:rFonts w:hint="eastAsia" w:ascii="Times New Roman" w:hAnsi="Times New Roman" w:eastAsia="宋体"/>
          <w:sz w:val="24"/>
          <w:szCs w:val="24"/>
          <w:lang w:eastAsia="zh-CN"/>
        </w:rPr>
        <w:t>。</w:t>
      </w:r>
    </w:p>
    <w:p>
      <w:pPr>
        <w:numPr>
          <w:ilvl w:val="0"/>
          <w:numId w:val="0"/>
        </w:numPr>
        <w:jc w:val="center"/>
        <w:outlineLvl w:val="9"/>
        <w:rPr>
          <w:rFonts w:hint="default" w:ascii="Times New Roman" w:hAnsi="Times New Roman" w:eastAsia="宋体"/>
          <w:b/>
          <w:bCs/>
          <w:sz w:val="24"/>
          <w:szCs w:val="24"/>
          <w:lang w:val="en-US" w:eastAsia="zh-CN"/>
        </w:rPr>
      </w:pPr>
      <w:r>
        <w:rPr>
          <w:rFonts w:hint="default" w:ascii="Times New Roman" w:hAnsi="Times New Roman" w:eastAsia="宋体"/>
          <w:b/>
          <w:bCs/>
          <w:sz w:val="24"/>
          <w:szCs w:val="24"/>
          <w:lang w:val="en-US" w:eastAsia="zh-CN"/>
        </w:rPr>
        <w:t xml:space="preserve">表 </w:t>
      </w:r>
      <w:r>
        <w:rPr>
          <w:rFonts w:hint="eastAsia" w:ascii="Times New Roman" w:hAnsi="Times New Roman" w:eastAsia="宋体"/>
          <w:b/>
          <w:bCs/>
          <w:sz w:val="24"/>
          <w:szCs w:val="24"/>
          <w:lang w:val="en-US" w:eastAsia="zh-CN"/>
        </w:rPr>
        <w:t>5</w:t>
      </w:r>
      <w:r>
        <w:rPr>
          <w:rFonts w:hint="default" w:ascii="Times New Roman" w:hAnsi="Times New Roman" w:eastAsia="宋体"/>
          <w:b/>
          <w:bCs/>
          <w:sz w:val="24"/>
          <w:szCs w:val="24"/>
          <w:lang w:val="en-US" w:eastAsia="zh-CN"/>
        </w:rPr>
        <w:t>.1.2-1 各设施关注的污染物</w:t>
      </w:r>
    </w:p>
    <w:tbl>
      <w:tblPr>
        <w:tblStyle w:val="21"/>
        <w:tblW w:w="864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3174"/>
        <w:gridCol w:w="40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重点设施名称</w:t>
            </w:r>
          </w:p>
        </w:tc>
        <w:tc>
          <w:tcPr>
            <w:tcW w:w="317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设施功能</w:t>
            </w:r>
          </w:p>
        </w:tc>
        <w:tc>
          <w:tcPr>
            <w:tcW w:w="4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4"/>
                <w:szCs w:val="24"/>
                <w:vertAlign w:val="baseline"/>
              </w:rPr>
            </w:pPr>
            <w:r>
              <w:rPr>
                <w:rFonts w:hint="eastAsia" w:ascii="Times New Roman" w:hAnsi="Times New Roman" w:eastAsia="宋体" w:cs="宋体"/>
                <w:color w:val="000000"/>
                <w:kern w:val="0"/>
                <w:sz w:val="24"/>
                <w:szCs w:val="24"/>
                <w:lang w:val="en-US" w:eastAsia="zh-CN" w:bidi="ar"/>
              </w:rPr>
              <w:t>关注污染物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频哪酮车间</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生产频哪酮</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频哪酮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氯化苄联产车间（3,5-二氯苯甲酰氯联产车间）</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生产3,5-二氯苯甲酰氯联产</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3,5-二氯苯甲酰氯</w:t>
            </w:r>
            <w:r>
              <w:rPr>
                <w:rFonts w:hint="eastAsia" w:ascii="Times New Roman" w:hAnsi="Times New Roman" w:eastAsia="宋体" w:cs="Times New Roman"/>
                <w:bCs/>
                <w:sz w:val="21"/>
                <w:szCs w:val="21"/>
                <w:vertAlign w:val="baseline"/>
                <w:lang w:val="en-US" w:eastAsia="zh-CN"/>
              </w:rPr>
              <w:t>、苯甲酰氯、三氯苯、pH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一、二氯频哪酮车间</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生产一、二氯频哪酮</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频哪酮、</w:t>
            </w:r>
            <w:r>
              <w:rPr>
                <w:rFonts w:hint="eastAsia" w:ascii="Times New Roman" w:hAnsi="Times New Roman" w:eastAsia="宋体"/>
                <w:sz w:val="21"/>
                <w:szCs w:val="21"/>
              </w:rPr>
              <w:t>氯化苄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甲类库</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危化品存放区</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频哪酮、甲醇、1,3,5-三氯苯、3,5-二氯苯甲酰氯、一、二氯频哪酮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危废仓库</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危废存放区</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sz w:val="21"/>
                <w:szCs w:val="21"/>
              </w:rPr>
              <w:t>氯化苄</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苯甲醛、</w:t>
            </w:r>
            <w:r>
              <w:rPr>
                <w:rFonts w:hint="eastAsia" w:ascii="Times New Roman" w:hAnsi="Times New Roman" w:eastAsia="宋体"/>
                <w:sz w:val="21"/>
                <w:szCs w:val="21"/>
              </w:rPr>
              <w:t>苯甲酰氯</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甲醇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应急池</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原料存放区</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pH、COD、SS、氨氮、总磷、盐分、甲醛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罐区</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罐区</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pH、甲醛、异戊烯、甲苯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07" w:type="dxa"/>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导热油炉</w:t>
            </w:r>
          </w:p>
        </w:tc>
        <w:tc>
          <w:tcPr>
            <w:tcW w:w="317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color w:val="000000"/>
                <w:kern w:val="0"/>
                <w:sz w:val="21"/>
                <w:szCs w:val="21"/>
                <w:lang w:val="en-US" w:eastAsia="zh-CN" w:bidi="ar"/>
              </w:rPr>
              <w:t>已燃烧天然气</w:t>
            </w:r>
          </w:p>
        </w:tc>
        <w:tc>
          <w:tcPr>
            <w:tcW w:w="4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总石油烃（C</w:t>
            </w:r>
            <w:r>
              <w:rPr>
                <w:rFonts w:hint="eastAsia" w:ascii="Times New Roman" w:hAnsi="Times New Roman" w:eastAsia="宋体" w:cs="Times New Roman"/>
                <w:bCs/>
                <w:sz w:val="21"/>
                <w:szCs w:val="21"/>
                <w:vertAlign w:val="subscript"/>
                <w:lang w:val="en-US" w:eastAsia="zh-CN"/>
              </w:rPr>
              <w:t>10</w:t>
            </w:r>
            <w:r>
              <w:rPr>
                <w:rFonts w:hint="eastAsia" w:ascii="Times New Roman" w:hAnsi="Times New Roman" w:eastAsia="宋体" w:cs="Times New Roman"/>
                <w:bCs/>
                <w:sz w:val="21"/>
                <w:szCs w:val="21"/>
                <w:vertAlign w:val="baseline"/>
                <w:lang w:val="en-US" w:eastAsia="zh-CN"/>
              </w:rPr>
              <w:t>-C</w:t>
            </w:r>
            <w:r>
              <w:rPr>
                <w:rFonts w:hint="eastAsia" w:ascii="Times New Roman" w:hAnsi="Times New Roman" w:eastAsia="宋体" w:cs="Times New Roman"/>
                <w:bCs/>
                <w:sz w:val="21"/>
                <w:szCs w:val="21"/>
                <w:vertAlign w:val="subscript"/>
                <w:lang w:val="en-US" w:eastAsia="zh-CN"/>
              </w:rPr>
              <w:t>40</w:t>
            </w:r>
            <w:r>
              <w:rPr>
                <w:rFonts w:hint="eastAsia" w:ascii="Times New Roman" w:hAnsi="Times New Roman" w:eastAsia="宋体" w:cs="Times New Roman"/>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污水处理区</w:t>
            </w:r>
          </w:p>
        </w:tc>
        <w:tc>
          <w:tcPr>
            <w:tcW w:w="3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color w:val="000000"/>
                <w:kern w:val="0"/>
                <w:sz w:val="21"/>
                <w:szCs w:val="21"/>
                <w:lang w:val="en-US" w:eastAsia="zh-CN" w:bidi="ar"/>
              </w:rPr>
              <w:t>污水处理</w:t>
            </w:r>
          </w:p>
        </w:tc>
        <w:tc>
          <w:tcPr>
            <w:tcW w:w="4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Times New Roman"/>
                <w:bCs/>
                <w:sz w:val="21"/>
                <w:szCs w:val="21"/>
                <w:vertAlign w:val="baseline"/>
                <w:lang w:val="en-US" w:eastAsia="zh-CN"/>
              </w:rPr>
              <w:t>pH、COD、SS、氨氮、总磷、盐分、甲醛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频哪酮车间</w:t>
            </w:r>
          </w:p>
        </w:tc>
        <w:tc>
          <w:tcPr>
            <w:tcW w:w="3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生产频哪酮</w:t>
            </w:r>
          </w:p>
        </w:tc>
        <w:tc>
          <w:tcPr>
            <w:tcW w:w="4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频哪酮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1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氯化苄联产车间（3,5-二氯苯甲酰氯联产车间）</w:t>
            </w:r>
          </w:p>
        </w:tc>
        <w:tc>
          <w:tcPr>
            <w:tcW w:w="317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生产3,5-二氯苯甲酰氯联产</w:t>
            </w:r>
          </w:p>
        </w:tc>
        <w:tc>
          <w:tcPr>
            <w:tcW w:w="40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kern w:val="2"/>
                <w:sz w:val="24"/>
                <w:szCs w:val="24"/>
                <w:vertAlign w:val="baseline"/>
                <w:lang w:val="en-US" w:eastAsia="zh-CN" w:bidi="ar-SA"/>
              </w:rPr>
            </w:pPr>
            <w:r>
              <w:rPr>
                <w:rFonts w:hint="eastAsia" w:ascii="Times New Roman" w:hAnsi="Times New Roman" w:eastAsia="宋体" w:cs="宋体"/>
                <w:sz w:val="21"/>
                <w:szCs w:val="21"/>
                <w:lang w:val="en-US" w:eastAsia="zh-CN"/>
              </w:rPr>
              <w:t>3,5-二氯苯甲酰氯</w:t>
            </w:r>
            <w:r>
              <w:rPr>
                <w:rFonts w:hint="eastAsia" w:ascii="Times New Roman" w:hAnsi="Times New Roman" w:eastAsia="宋体" w:cs="Times New Roman"/>
                <w:bCs/>
                <w:sz w:val="21"/>
                <w:szCs w:val="21"/>
                <w:vertAlign w:val="baseline"/>
                <w:lang w:val="en-US" w:eastAsia="zh-CN"/>
              </w:rPr>
              <w:t>、苯甲酰氯、三氯苯、pH</w:t>
            </w:r>
          </w:p>
        </w:tc>
      </w:tr>
    </w:tbl>
    <w:p>
      <w:pPr>
        <w:numPr>
          <w:ilvl w:val="0"/>
          <w:numId w:val="0"/>
        </w:numPr>
        <w:outlineLvl w:val="9"/>
        <w:rPr>
          <w:rFonts w:hint="default" w:ascii="Times New Roman" w:hAnsi="Times New Roman" w:eastAsia="宋体" w:cs="Times New Roman"/>
          <w:sz w:val="24"/>
          <w:szCs w:val="24"/>
          <w:lang w:val="en-US" w:eastAsia="zh-CN"/>
        </w:rPr>
      </w:pPr>
    </w:p>
    <w:p>
      <w:pPr>
        <w:pStyle w:val="2"/>
        <w:rPr>
          <w:rFonts w:hint="default"/>
          <w:lang w:val="en-US" w:eastAsia="zh-CN"/>
        </w:rPr>
      </w:pPr>
    </w:p>
    <w:p>
      <w:pPr>
        <w:pStyle w:val="2"/>
        <w:numPr>
          <w:ilvl w:val="0"/>
          <w:numId w:val="6"/>
        </w:numPr>
        <w:ind w:left="0" w:leftChars="0" w:firstLine="480" w:firstLineChars="200"/>
        <w:outlineLvl w:val="2"/>
        <w:rPr>
          <w:rFonts w:hint="eastAsia" w:ascii="Times New Roman" w:hAnsi="Times New Roman" w:eastAsia="宋体" w:cs="Times New Roman"/>
          <w:sz w:val="24"/>
          <w:szCs w:val="24"/>
          <w:lang w:val="en-US" w:eastAsia="zh-CN"/>
        </w:rPr>
      </w:pPr>
      <w:bookmarkStart w:id="29" w:name="_Toc15755"/>
      <w:r>
        <w:rPr>
          <w:rFonts w:hint="eastAsia" w:ascii="Times New Roman" w:hAnsi="Times New Roman" w:eastAsia="宋体" w:cs="Times New Roman"/>
          <w:sz w:val="24"/>
          <w:szCs w:val="24"/>
          <w:lang w:val="en-US" w:eastAsia="zh-CN"/>
        </w:rPr>
        <w:t>污染物潜在迁移途径</w:t>
      </w:r>
      <w:bookmarkEnd w:id="29"/>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根据</w:t>
      </w:r>
      <w:r>
        <w:rPr>
          <w:rFonts w:ascii="Times New Roman" w:hAnsi="Times New Roman" w:eastAsia="宋体" w:cs="Times New Roman"/>
          <w:sz w:val="24"/>
          <w:szCs w:val="24"/>
        </w:rPr>
        <w:t>岩土</w:t>
      </w:r>
      <w:r>
        <w:rPr>
          <w:rFonts w:hint="eastAsia" w:ascii="Times New Roman" w:hAnsi="Times New Roman" w:eastAsia="宋体" w:cs="Times New Roman"/>
          <w:sz w:val="24"/>
          <w:szCs w:val="24"/>
        </w:rPr>
        <w:t>工程</w:t>
      </w:r>
      <w:r>
        <w:rPr>
          <w:rFonts w:ascii="Times New Roman" w:hAnsi="Times New Roman" w:eastAsia="宋体" w:cs="Times New Roman"/>
          <w:sz w:val="24"/>
          <w:szCs w:val="24"/>
        </w:rPr>
        <w:t>勘察报告</w:t>
      </w:r>
      <w:r>
        <w:rPr>
          <w:rFonts w:hint="eastAsia" w:ascii="Times New Roman" w:hAnsi="Times New Roman" w:eastAsia="宋体" w:cs="Times New Roman"/>
          <w:sz w:val="24"/>
          <w:szCs w:val="24"/>
          <w:lang w:val="en-US" w:eastAsia="zh-CN"/>
        </w:rPr>
        <w:t>的</w:t>
      </w:r>
      <w:r>
        <w:rPr>
          <w:rFonts w:ascii="Times New Roman" w:hAnsi="Times New Roman" w:eastAsia="宋体" w:cs="Times New Roman"/>
          <w:sz w:val="24"/>
          <w:szCs w:val="24"/>
        </w:rPr>
        <w:t>报告内容，</w:t>
      </w:r>
      <w:r>
        <w:rPr>
          <w:rFonts w:hint="eastAsia" w:ascii="Times New Roman" w:hAnsi="Times New Roman" w:eastAsia="宋体" w:cs="Times New Roman"/>
          <w:sz w:val="24"/>
          <w:szCs w:val="24"/>
        </w:rPr>
        <w:t>企业</w:t>
      </w:r>
      <w:r>
        <w:rPr>
          <w:rFonts w:ascii="Times New Roman" w:hAnsi="Times New Roman" w:eastAsia="宋体" w:cs="Times New Roman"/>
          <w:sz w:val="24"/>
          <w:szCs w:val="24"/>
        </w:rPr>
        <w:t>地块地基土自上而下划分为</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个</w:t>
      </w:r>
      <w:r>
        <w:rPr>
          <w:rFonts w:ascii="Times New Roman" w:hAnsi="Times New Roman" w:eastAsia="宋体" w:cs="Times New Roman"/>
          <w:sz w:val="24"/>
          <w:szCs w:val="24"/>
        </w:rPr>
        <w:t>工程地质层</w:t>
      </w:r>
      <w:r>
        <w:rPr>
          <w:rFonts w:hint="eastAsia" w:ascii="Times New Roman" w:hAnsi="Times New Roman" w:eastAsia="宋体" w:cs="Times New Roman"/>
          <w:sz w:val="24"/>
          <w:szCs w:val="24"/>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第1层</w:t>
      </w:r>
      <w:r>
        <w:rPr>
          <w:rFonts w:hint="eastAsia" w:ascii="Times New Roman" w:hAnsi="Times New Roman" w:eastAsia="宋体" w:cs="Times New Roman"/>
          <w:sz w:val="24"/>
          <w:szCs w:val="24"/>
          <w:highlight w:val="none"/>
          <w:lang w:val="en-US" w:eastAsia="zh-CN"/>
        </w:rPr>
        <w:t>耕土</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以砂质粉土为主要成分，灰黄色，松散，强度不均匀</w:t>
      </w:r>
      <w:r>
        <w:rPr>
          <w:rFonts w:hint="eastAsia" w:ascii="Times New Roman" w:hAnsi="Times New Roman" w:eastAsia="宋体" w:cs="Times New Roman"/>
          <w:sz w:val="24"/>
          <w:szCs w:val="24"/>
          <w:highlight w:val="none"/>
          <w:lang w:val="en-US" w:eastAsia="zh-CN"/>
        </w:rPr>
        <w:t>；层底高程2.70～2.95m，层厚1.00～1.20m。</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第</w:t>
      </w:r>
      <w:r>
        <w:rPr>
          <w:rFonts w:hint="eastAsia" w:ascii="Times New Roman" w:hAnsi="Times New Roman" w:eastAsia="宋体" w:cs="Times New Roman"/>
          <w:sz w:val="24"/>
          <w:szCs w:val="24"/>
        </w:rPr>
        <w:t>2</w:t>
      </w:r>
      <w:r>
        <w:rPr>
          <w:rFonts w:ascii="Times New Roman" w:hAnsi="Times New Roman" w:eastAsia="宋体" w:cs="Times New Roman"/>
          <w:sz w:val="24"/>
          <w:szCs w:val="24"/>
        </w:rPr>
        <w:t>层</w:t>
      </w:r>
      <w:r>
        <w:rPr>
          <w:rFonts w:hint="eastAsia" w:ascii="Times New Roman" w:hAnsi="Times New Roman" w:eastAsia="宋体" w:cs="Times New Roman"/>
          <w:sz w:val="24"/>
          <w:szCs w:val="24"/>
          <w:lang w:val="en-US" w:eastAsia="zh-CN"/>
        </w:rPr>
        <w:t>粉土夹粉质粘土：黄灰色，粉土稍密，很湿，具水平层理。干强度低，韧性低，摇震反应中等，切面无光泽。层顶高程一般2.70～2.95m，层底高程一般-0.07～0.70m，层厚一般2.00～2.90m。粉质粘土软塑，干强度中等，初性中等，摇震反应无，切面稍有光泽</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第</w:t>
      </w:r>
      <w:r>
        <w:rPr>
          <w:rFonts w:hint="eastAsia" w:ascii="Times New Roman" w:hAnsi="Times New Roman" w:eastAsia="宋体" w:cs="Times New Roman"/>
          <w:sz w:val="24"/>
          <w:szCs w:val="24"/>
        </w:rPr>
        <w:t>3</w:t>
      </w:r>
      <w:r>
        <w:rPr>
          <w:rFonts w:ascii="Times New Roman" w:hAnsi="Times New Roman" w:eastAsia="宋体" w:cs="Times New Roman"/>
          <w:sz w:val="24"/>
          <w:szCs w:val="24"/>
        </w:rPr>
        <w:t>层粉土</w:t>
      </w:r>
      <w:r>
        <w:rPr>
          <w:rFonts w:hint="eastAsia" w:ascii="Times New Roman" w:hAnsi="Times New Roman" w:eastAsia="宋体" w:cs="Times New Roman"/>
          <w:sz w:val="24"/>
          <w:szCs w:val="24"/>
        </w:rPr>
        <w:t>：灰色，稍密，局部中密，很湿。具水平层理。干强度低韧性低，摇震反应中等，切面无光泽。层顶高程一般-0.07～0.70m，层底高程-2.35～-1.40m，层厚1.70～2.80m。</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第</w:t>
      </w:r>
      <w:r>
        <w:rPr>
          <w:rFonts w:hint="eastAsia" w:ascii="Times New Roman" w:hAnsi="Times New Roman" w:eastAsia="宋体" w:cs="Times New Roman"/>
          <w:sz w:val="24"/>
          <w:szCs w:val="24"/>
        </w:rPr>
        <w:t>4</w:t>
      </w:r>
      <w:r>
        <w:rPr>
          <w:rFonts w:ascii="Times New Roman" w:hAnsi="Times New Roman" w:eastAsia="宋体" w:cs="Times New Roman"/>
          <w:sz w:val="24"/>
          <w:szCs w:val="24"/>
        </w:rPr>
        <w:t>层为</w:t>
      </w:r>
      <w:r>
        <w:rPr>
          <w:rFonts w:hint="eastAsia" w:ascii="Times New Roman" w:hAnsi="Times New Roman" w:eastAsia="宋体" w:cs="Times New Roman"/>
          <w:sz w:val="24"/>
          <w:szCs w:val="24"/>
        </w:rPr>
        <w:t>粉砂夹粉土：灰色，粉砂中密，局部稍密，饱和。矿物组成以石英、长石、云母为主。层顶高程-2.35～-1，40m，层底高程-7.47～-6.79m。层厚4.50～5.70m。粉土很湿，中密，干强度低，韧性低，摇震反应中等，切面无光泽。</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第</w:t>
      </w:r>
      <w:r>
        <w:rPr>
          <w:rFonts w:hint="eastAsia" w:ascii="Times New Roman" w:hAnsi="Times New Roman" w:eastAsia="宋体" w:cs="Times New Roman"/>
          <w:sz w:val="24"/>
          <w:szCs w:val="24"/>
        </w:rPr>
        <w:t>5</w:t>
      </w:r>
      <w:r>
        <w:rPr>
          <w:rFonts w:ascii="Times New Roman" w:hAnsi="Times New Roman" w:eastAsia="宋体" w:cs="Times New Roman"/>
          <w:sz w:val="24"/>
          <w:szCs w:val="24"/>
        </w:rPr>
        <w:t>层为</w:t>
      </w:r>
      <w:r>
        <w:rPr>
          <w:rFonts w:hint="eastAsia" w:ascii="Times New Roman" w:hAnsi="Times New Roman" w:eastAsia="宋体" w:cs="Times New Roman"/>
          <w:sz w:val="24"/>
          <w:szCs w:val="24"/>
        </w:rPr>
        <w:t>粉砂：灰色，中密，饱和，矿物组成以石英、长石、云母为主，夹贝壳碎片。层顶高程-7.47～-6.79m，本次未钻穿。</w:t>
      </w:r>
    </w:p>
    <w:p>
      <w:pPr>
        <w:spacing w:line="360" w:lineRule="auto"/>
        <w:ind w:firstLine="480"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sz w:val="24"/>
          <w:szCs w:val="24"/>
          <w:lang w:val="en-US" w:eastAsia="zh-CN"/>
        </w:rPr>
        <w:t>勘察期间进行了地下水水位观测，地下水埋藏较浅，钻孔内初见水位为地表下2.00~2.05m（高程1.90m），稳定水位在地表下1.80~1.85m（高程2.10m）。据调查场地历史最高水位高程为3.00m，常年最高地下水位可按高程2.60m，变幅1.20m左右，一般在高程2.60~1.40m之间变化。</w:t>
      </w:r>
    </w:p>
    <w:p>
      <w:pPr>
        <w:pStyle w:val="2"/>
        <w:rPr>
          <w:rFonts w:hint="default" w:ascii="Times New Roman" w:hAnsi="Times New Roman" w:eastAsia="宋体" w:cs="Times New Roman"/>
          <w:kern w:val="2"/>
          <w:sz w:val="24"/>
          <w:szCs w:val="24"/>
          <w:lang w:val="en-US" w:eastAsia="zh-CN" w:bidi="ar-SA"/>
        </w:rPr>
      </w:pPr>
    </w:p>
    <w:p>
      <w:pPr>
        <w:pStyle w:val="2"/>
        <w:outlineLvl w:val="1"/>
        <w:rPr>
          <w:rFonts w:hint="eastAsia" w:ascii="Times New Roman" w:hAnsi="Times New Roman" w:eastAsia="宋体" w:cs="Times New Roman"/>
          <w:sz w:val="28"/>
          <w:szCs w:val="28"/>
          <w:lang w:val="en-US" w:eastAsia="zh-CN"/>
        </w:rPr>
      </w:pPr>
      <w:bookmarkStart w:id="30" w:name="_Toc31342"/>
      <w:r>
        <w:rPr>
          <w:rFonts w:hint="eastAsia" w:ascii="Times New Roman" w:hAnsi="Times New Roman" w:eastAsia="宋体" w:cs="Times New Roman"/>
          <w:sz w:val="28"/>
          <w:szCs w:val="28"/>
          <w:lang w:val="en-US" w:eastAsia="zh-CN"/>
        </w:rPr>
        <w:t>5.2重点区域划分</w:t>
      </w:r>
      <w:bookmarkEnd w:id="30"/>
    </w:p>
    <w:p>
      <w:pPr>
        <w:spacing w:line="360" w:lineRule="auto"/>
        <w:ind w:firstLine="482" w:firstLineChars="200"/>
        <w:jc w:val="center"/>
        <w:rPr>
          <w:rFonts w:ascii="Times New Roman" w:hAnsi="Times New Roman" w:eastAsia="宋体"/>
          <w:b/>
          <w:sz w:val="24"/>
          <w:szCs w:val="24"/>
        </w:rPr>
      </w:pPr>
      <w:r>
        <w:rPr>
          <w:rFonts w:ascii="Times New Roman" w:hAnsi="Times New Roman" w:eastAsia="宋体"/>
          <w:b/>
          <w:sz w:val="24"/>
          <w:szCs w:val="24"/>
        </w:rPr>
        <w:t>表</w:t>
      </w:r>
      <w:r>
        <w:rPr>
          <w:rFonts w:hint="eastAsia" w:ascii="Times New Roman" w:hAnsi="Times New Roman" w:eastAsia="宋体"/>
          <w:b/>
          <w:sz w:val="24"/>
          <w:szCs w:val="24"/>
          <w:lang w:val="en-US" w:eastAsia="zh-CN"/>
        </w:rPr>
        <w:t>5</w:t>
      </w:r>
      <w:r>
        <w:rPr>
          <w:rFonts w:ascii="Times New Roman" w:hAnsi="Times New Roman" w:eastAsia="宋体"/>
          <w:b/>
          <w:sz w:val="24"/>
          <w:szCs w:val="24"/>
        </w:rPr>
        <w:t>.</w:t>
      </w:r>
      <w:r>
        <w:rPr>
          <w:rFonts w:hint="eastAsia" w:ascii="Times New Roman" w:hAnsi="Times New Roman" w:eastAsia="宋体"/>
          <w:b/>
          <w:sz w:val="24"/>
          <w:szCs w:val="24"/>
          <w:lang w:val="en-US" w:eastAsia="zh-CN"/>
        </w:rPr>
        <w:t>2</w:t>
      </w:r>
      <w:r>
        <w:rPr>
          <w:rFonts w:ascii="Times New Roman" w:hAnsi="Times New Roman" w:eastAsia="宋体"/>
          <w:b/>
          <w:sz w:val="24"/>
          <w:szCs w:val="24"/>
        </w:rPr>
        <w:t>-1</w:t>
      </w:r>
      <w:r>
        <w:rPr>
          <w:rFonts w:ascii="Times New Roman" w:hAnsi="Times New Roman" w:eastAsia="宋体"/>
          <w:b/>
          <w:spacing w:val="66"/>
          <w:sz w:val="24"/>
          <w:szCs w:val="24"/>
        </w:rPr>
        <w:t xml:space="preserve"> </w:t>
      </w:r>
      <w:r>
        <w:rPr>
          <w:rFonts w:ascii="Times New Roman" w:hAnsi="Times New Roman" w:eastAsia="宋体"/>
          <w:b/>
          <w:sz w:val="24"/>
          <w:szCs w:val="24"/>
        </w:rPr>
        <w:t>重点区域划分</w:t>
      </w:r>
    </w:p>
    <w:tbl>
      <w:tblPr>
        <w:tblStyle w:val="21"/>
        <w:tblW w:w="0" w:type="auto"/>
        <w:tblInd w:w="369"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934"/>
        <w:gridCol w:w="2983"/>
        <w:gridCol w:w="22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dxa"/>
            <w:tcBorders>
              <w:tl2br w:val="nil"/>
              <w:tr2bl w:val="nil"/>
            </w:tcBorders>
          </w:tcPr>
          <w:p>
            <w:pPr>
              <w:jc w:val="center"/>
              <w:outlineLvl w:val="9"/>
              <w:rPr>
                <w:rFonts w:hint="eastAsia" w:ascii="Times New Roman" w:hAnsi="Times New Roman" w:eastAsia="宋体" w:cs="宋体"/>
                <w:sz w:val="24"/>
                <w:szCs w:val="24"/>
                <w:vertAlign w:val="baseline"/>
                <w:lang w:val="en-US" w:eastAsia="zh-CN"/>
              </w:rPr>
            </w:pPr>
            <w:r>
              <w:rPr>
                <w:rFonts w:hint="eastAsia" w:ascii="Times New Roman" w:hAnsi="Times New Roman" w:eastAsia="宋体" w:cs="宋体"/>
                <w:sz w:val="24"/>
                <w:szCs w:val="24"/>
                <w:vertAlign w:val="baseline"/>
                <w:lang w:val="en-US" w:eastAsia="zh-CN"/>
              </w:rPr>
              <w:t>编号</w:t>
            </w:r>
          </w:p>
        </w:tc>
        <w:tc>
          <w:tcPr>
            <w:tcW w:w="1935" w:type="dxa"/>
            <w:tcBorders>
              <w:tl2br w:val="nil"/>
              <w:tr2bl w:val="nil"/>
            </w:tcBorders>
          </w:tcPr>
          <w:p>
            <w:pPr>
              <w:jc w:val="center"/>
              <w:outlineLvl w:val="9"/>
              <w:rPr>
                <w:rFonts w:hint="eastAsia" w:ascii="Times New Roman" w:hAnsi="Times New Roman" w:eastAsia="宋体" w:cs="宋体"/>
                <w:sz w:val="24"/>
                <w:szCs w:val="24"/>
                <w:vertAlign w:val="baseline"/>
                <w:lang w:val="en-US" w:eastAsia="zh-CN"/>
              </w:rPr>
            </w:pPr>
            <w:r>
              <w:rPr>
                <w:rFonts w:hint="eastAsia" w:ascii="Times New Roman" w:hAnsi="Times New Roman" w:eastAsia="宋体" w:cs="宋体"/>
                <w:sz w:val="24"/>
                <w:szCs w:val="24"/>
                <w:vertAlign w:val="baseline"/>
                <w:lang w:val="en-US" w:eastAsia="zh-CN"/>
              </w:rPr>
              <w:t>区域划分</w:t>
            </w:r>
          </w:p>
        </w:tc>
        <w:tc>
          <w:tcPr>
            <w:tcW w:w="2985" w:type="dxa"/>
            <w:tcBorders>
              <w:tl2br w:val="nil"/>
              <w:tr2bl w:val="nil"/>
            </w:tcBorders>
          </w:tcPr>
          <w:p>
            <w:pPr>
              <w:jc w:val="center"/>
              <w:outlineLvl w:val="9"/>
              <w:rPr>
                <w:rFonts w:hint="eastAsia" w:ascii="Times New Roman" w:hAnsi="Times New Roman" w:eastAsia="宋体" w:cs="宋体"/>
                <w:sz w:val="24"/>
                <w:szCs w:val="24"/>
                <w:highlight w:val="yellow"/>
                <w:vertAlign w:val="baseline"/>
                <w:lang w:val="en-US" w:eastAsia="zh-CN"/>
              </w:rPr>
            </w:pPr>
            <w:r>
              <w:rPr>
                <w:rFonts w:hint="eastAsia" w:ascii="Times New Roman" w:hAnsi="Times New Roman" w:eastAsia="宋体" w:cs="宋体"/>
                <w:sz w:val="24"/>
                <w:szCs w:val="24"/>
                <w:vertAlign w:val="baseline"/>
                <w:lang w:val="en-US" w:eastAsia="zh-CN"/>
              </w:rPr>
              <w:t>重点区域</w:t>
            </w:r>
          </w:p>
        </w:tc>
        <w:tc>
          <w:tcPr>
            <w:tcW w:w="2271" w:type="dxa"/>
            <w:tcBorders>
              <w:tl2br w:val="nil"/>
              <w:tr2bl w:val="nil"/>
            </w:tcBorders>
          </w:tcPr>
          <w:p>
            <w:pPr>
              <w:jc w:val="center"/>
              <w:outlineLvl w:val="9"/>
              <w:rPr>
                <w:rFonts w:hint="eastAsia" w:ascii="Times New Roman" w:hAnsi="Times New Roman" w:eastAsia="宋体" w:cs="宋体"/>
                <w:sz w:val="24"/>
                <w:szCs w:val="24"/>
                <w:vertAlign w:val="baseline"/>
                <w:lang w:val="en-US" w:eastAsia="zh-CN"/>
              </w:rPr>
            </w:pPr>
            <w:r>
              <w:rPr>
                <w:rFonts w:hint="eastAsia" w:ascii="Times New Roman" w:hAnsi="Times New Roman" w:eastAsia="宋体" w:cs="宋体"/>
                <w:sz w:val="24"/>
                <w:szCs w:val="24"/>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A</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罐区及甲类库</w:t>
            </w:r>
          </w:p>
        </w:tc>
        <w:tc>
          <w:tcPr>
            <w:tcW w:w="2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罐区、甲类库</w:t>
            </w:r>
          </w:p>
        </w:tc>
        <w:tc>
          <w:tcPr>
            <w:tcW w:w="2271" w:type="dxa"/>
            <w:tcBorders>
              <w:tl2br w:val="nil"/>
              <w:tr2bl w:val="nil"/>
            </w:tcBorders>
          </w:tcPr>
          <w:p>
            <w:pPr>
              <w:jc w:val="center"/>
              <w:outlineLvl w:val="9"/>
              <w:rPr>
                <w:rFonts w:hint="eastAsia" w:ascii="Times New Roman" w:hAnsi="Times New Roman" w:eastAsia="宋体" w:cs="宋体"/>
                <w:sz w:val="24"/>
                <w:szCs w:val="24"/>
                <w:vertAlign w:val="baseline"/>
                <w:lang w:val="en-US" w:eastAsia="zh-CN"/>
              </w:rPr>
            </w:pPr>
            <w:r>
              <w:rPr>
                <w:rFonts w:hint="eastAsia" w:ascii="Times New Roman" w:hAnsi="Times New Roman" w:eastAsia="宋体" w:cs="宋体"/>
                <w:sz w:val="24"/>
                <w:szCs w:val="24"/>
                <w:vertAlign w:val="baseline"/>
                <w:lang w:val="en-US" w:eastAsia="zh-CN"/>
              </w:rPr>
              <w:t>位于厂区北侧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B</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生产区</w:t>
            </w:r>
          </w:p>
        </w:tc>
        <w:tc>
          <w:tcPr>
            <w:tcW w:w="2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sz w:val="24"/>
                <w:szCs w:val="24"/>
                <w:lang w:val="en-US" w:eastAsia="zh-CN"/>
              </w:rPr>
              <w:t>频哪酮车间</w:t>
            </w:r>
            <w:r>
              <w:rPr>
                <w:rFonts w:hint="eastAsia" w:ascii="Times New Roman" w:hAnsi="Times New Roman" w:eastAsia="宋体" w:cs="宋体"/>
                <w:color w:val="000000"/>
                <w:kern w:val="0"/>
                <w:sz w:val="24"/>
                <w:szCs w:val="24"/>
                <w:lang w:val="en-US" w:eastAsia="zh-CN" w:bidi="ar"/>
              </w:rPr>
              <w:t>、</w:t>
            </w:r>
            <w:r>
              <w:rPr>
                <w:rFonts w:hint="eastAsia" w:ascii="Times New Roman" w:hAnsi="Times New Roman" w:eastAsia="宋体" w:cs="宋体"/>
                <w:sz w:val="24"/>
                <w:szCs w:val="24"/>
                <w:lang w:val="en-US" w:eastAsia="zh-CN"/>
              </w:rPr>
              <w:t>氯化苄联产车间</w:t>
            </w:r>
            <w:r>
              <w:rPr>
                <w:rFonts w:hint="eastAsia" w:ascii="Times New Roman" w:hAnsi="Times New Roman" w:eastAsia="宋体" w:cs="宋体"/>
                <w:color w:val="000000"/>
                <w:kern w:val="0"/>
                <w:sz w:val="24"/>
                <w:szCs w:val="24"/>
                <w:lang w:val="en-US" w:eastAsia="zh-CN" w:bidi="ar"/>
              </w:rPr>
              <w:t>、</w:t>
            </w:r>
            <w:r>
              <w:rPr>
                <w:rFonts w:hint="eastAsia" w:ascii="Times New Roman" w:hAnsi="Times New Roman" w:eastAsia="宋体" w:cs="宋体"/>
                <w:sz w:val="24"/>
                <w:szCs w:val="24"/>
                <w:lang w:val="en-US" w:eastAsia="zh-CN"/>
              </w:rPr>
              <w:t>一、二氯频哪酮车间</w:t>
            </w:r>
          </w:p>
        </w:tc>
        <w:tc>
          <w:tcPr>
            <w:tcW w:w="2271" w:type="dxa"/>
            <w:tcBorders>
              <w:tl2br w:val="nil"/>
              <w:tr2bl w:val="nil"/>
            </w:tcBorders>
            <w:vAlign w:val="top"/>
          </w:tcPr>
          <w:p>
            <w:pPr>
              <w:jc w:val="center"/>
              <w:outlineLvl w:val="9"/>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sz w:val="24"/>
                <w:szCs w:val="24"/>
              </w:rPr>
              <w:t>生产产品的核心区域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C</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仓库区</w:t>
            </w:r>
          </w:p>
        </w:tc>
        <w:tc>
          <w:tcPr>
            <w:tcW w:w="2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sz w:val="24"/>
                <w:szCs w:val="24"/>
                <w:vertAlign w:val="baseline"/>
                <w:lang w:val="en-US" w:eastAsia="zh-CN"/>
              </w:rPr>
              <w:t>固废仓库、盐酸罐区</w:t>
            </w:r>
          </w:p>
        </w:tc>
        <w:tc>
          <w:tcPr>
            <w:tcW w:w="2271" w:type="dxa"/>
            <w:tcBorders>
              <w:tl2br w:val="nil"/>
              <w:tr2bl w:val="nil"/>
            </w:tcBorders>
            <w:vAlign w:val="center"/>
          </w:tcPr>
          <w:p>
            <w:pPr>
              <w:jc w:val="center"/>
              <w:outlineLvl w:val="9"/>
              <w:rPr>
                <w:rFonts w:hint="eastAsia" w:ascii="Times New Roman" w:hAnsi="Times New Roman" w:eastAsia="宋体" w:cs="宋体"/>
                <w:sz w:val="24"/>
                <w:szCs w:val="24"/>
                <w:vertAlign w:val="baseline"/>
                <w:lang w:val="en-US" w:eastAsia="zh-CN"/>
              </w:rPr>
            </w:pPr>
            <w:r>
              <w:rPr>
                <w:rFonts w:hint="eastAsia" w:ascii="Times New Roman" w:hAnsi="Times New Roman" w:eastAsia="宋体" w:cs="宋体"/>
                <w:sz w:val="24"/>
                <w:szCs w:val="24"/>
                <w:vertAlign w:val="baseline"/>
                <w:lang w:val="en-US" w:eastAsia="zh-CN"/>
              </w:rPr>
              <w:t>位于厂区南侧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D</w:t>
            </w:r>
          </w:p>
        </w:tc>
        <w:tc>
          <w:tcPr>
            <w:tcW w:w="193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污水处理区</w:t>
            </w:r>
          </w:p>
        </w:tc>
        <w:tc>
          <w:tcPr>
            <w:tcW w:w="29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污水处理站、油炉房</w:t>
            </w:r>
          </w:p>
        </w:tc>
        <w:tc>
          <w:tcPr>
            <w:tcW w:w="2271" w:type="dxa"/>
            <w:tcBorders>
              <w:tl2br w:val="nil"/>
              <w:tr2bl w:val="nil"/>
            </w:tcBorders>
            <w:vAlign w:val="top"/>
          </w:tcPr>
          <w:p>
            <w:pPr>
              <w:jc w:val="center"/>
              <w:outlineLvl w:val="9"/>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sz w:val="24"/>
                <w:szCs w:val="24"/>
                <w:lang w:val="en-US" w:eastAsia="zh-CN"/>
              </w:rPr>
              <w:t>位于厂区北侧</w:t>
            </w:r>
          </w:p>
        </w:tc>
      </w:tr>
    </w:tbl>
    <w:p>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eastAsia" w:ascii="Times New Roman" w:hAnsi="Times New Roman" w:eastAsia="宋体" w:cs="Times New Roman"/>
          <w:sz w:val="28"/>
          <w:szCs w:val="28"/>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Times New Roman" w:hAnsi="Times New Roman" w:eastAsia="宋体" w:cs="Times New Roman"/>
          <w:sz w:val="28"/>
          <w:szCs w:val="28"/>
          <w:lang w:val="en-US" w:eastAsia="zh-CN"/>
        </w:rPr>
      </w:pPr>
      <w:bookmarkStart w:id="31" w:name="_Toc30721"/>
      <w:r>
        <w:rPr>
          <w:rFonts w:hint="eastAsia" w:ascii="Times New Roman" w:hAnsi="Times New Roman" w:eastAsia="宋体" w:cs="Times New Roman"/>
          <w:sz w:val="28"/>
          <w:szCs w:val="28"/>
          <w:lang w:val="en-US" w:eastAsia="zh-CN"/>
        </w:rPr>
        <w:t>6土壤和地下水监测点位布设方案</w:t>
      </w:r>
      <w:bookmarkEnd w:id="31"/>
    </w:p>
    <w:p>
      <w:pPr>
        <w:pStyle w:val="2"/>
        <w:pageBreakBefore w:val="0"/>
        <w:widowControl w:val="0"/>
        <w:kinsoku/>
        <w:wordWrap/>
        <w:overflowPunct/>
        <w:topLinePunct w:val="0"/>
        <w:autoSpaceDE/>
        <w:autoSpaceDN/>
        <w:bidi w:val="0"/>
        <w:adjustRightInd/>
        <w:snapToGrid/>
        <w:spacing w:line="240" w:lineRule="auto"/>
        <w:textAlignment w:val="auto"/>
        <w:outlineLvl w:val="1"/>
        <w:rPr>
          <w:rFonts w:hint="eastAsia" w:ascii="Times New Roman" w:hAnsi="Times New Roman" w:eastAsia="宋体"/>
          <w:lang w:val="en-US" w:eastAsia="zh-CN"/>
        </w:rPr>
      </w:pPr>
      <w:bookmarkStart w:id="32" w:name="_Toc1790"/>
      <w:r>
        <w:rPr>
          <w:rFonts w:hint="eastAsia" w:ascii="Times New Roman" w:hAnsi="Times New Roman" w:eastAsia="宋体" w:cs="Times New Roman"/>
          <w:sz w:val="28"/>
          <w:szCs w:val="28"/>
          <w:lang w:val="en-US" w:eastAsia="zh-CN"/>
        </w:rPr>
        <w:t>6.1点位设置平面图</w:t>
      </w:r>
      <w:bookmarkEnd w:id="32"/>
    </w:p>
    <w:p>
      <w:pPr>
        <w:pStyle w:val="2"/>
        <w:outlineLvl w:val="1"/>
        <w:rPr>
          <w:rFonts w:hint="eastAsia" w:ascii="Times New Roman" w:hAnsi="Times New Roman" w:eastAsia="宋体" w:cs="Times New Roman"/>
          <w:sz w:val="28"/>
          <w:szCs w:val="28"/>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bookmarkStart w:id="33" w:name="_Toc5529"/>
      <w:bookmarkStart w:id="34" w:name="_Toc3833"/>
      <w:bookmarkStart w:id="35" w:name="_Toc15633"/>
      <w:bookmarkStart w:id="36" w:name="_Toc17470"/>
      <w:r>
        <w:rPr>
          <w:rFonts w:ascii="Times New Roman" w:hAnsi="Times New Roman" w:eastAsia="宋体"/>
          <w:sz w:val="28"/>
        </w:rPr>
        <w:pict>
          <v:shape id="_x0000_s1256" o:spid="_x0000_s1256" o:spt="202" type="#_x0000_t202" style="position:absolute;left:0pt;margin-left:276.95pt;margin-top:332.7pt;height:27pt;width:217.5pt;z-index:251661312;mso-width-relative:page;mso-height-relative:page;" fillcolor="#FFFFFF" filled="t" stroked="f" coordsize="21600,21600">
            <v:path/>
            <v:fill on="t" color2="#FFFFFF" focussize="0,0"/>
            <v:stroke on="f"/>
            <v:imagedata o:title=""/>
            <o:lock v:ext="edit" aspectratio="f"/>
            <v:textbox>
              <w:txbxContent>
                <w:p>
                  <w:pPr>
                    <w:rPr>
                      <w:rFonts w:hint="eastAsia" w:eastAsiaTheme="minorEastAsia"/>
                      <w:lang w:val="en-US" w:eastAsia="zh-CN"/>
                    </w:rPr>
                  </w:pPr>
                  <w:r>
                    <w:rPr>
                      <w:rFonts w:hint="eastAsia" w:ascii="Times New Roman" w:hAnsi="Times New Roman" w:cs="Times New Roman"/>
                      <w:b/>
                      <w:sz w:val="24"/>
                      <w:szCs w:val="24"/>
                    </w:rPr>
                    <w:t>图</w:t>
                  </w:r>
                  <w:r>
                    <w:rPr>
                      <w:rFonts w:hint="eastAsia" w:ascii="Times New Roman" w:hAnsi="Times New Roman" w:cs="Times New Roman"/>
                      <w:b/>
                      <w:sz w:val="24"/>
                      <w:szCs w:val="24"/>
                      <w:lang w:val="en-US" w:eastAsia="zh-CN"/>
                    </w:rPr>
                    <w:t>6</w:t>
                  </w:r>
                  <w:r>
                    <w:rPr>
                      <w:rFonts w:hint="eastAsia" w:ascii="Times New Roman" w:hAnsi="Times New Roman" w:cs="Times New Roman"/>
                      <w:b/>
                      <w:sz w:val="24"/>
                      <w:szCs w:val="24"/>
                    </w:rPr>
                    <w:t>.</w:t>
                  </w:r>
                  <w:r>
                    <w:rPr>
                      <w:rFonts w:hint="eastAsia" w:ascii="Times New Roman" w:hAnsi="Times New Roman" w:cs="Times New Roman"/>
                      <w:b/>
                      <w:sz w:val="24"/>
                      <w:szCs w:val="24"/>
                      <w:lang w:val="en-US" w:eastAsia="zh-CN"/>
                    </w:rPr>
                    <w:t>1</w:t>
                  </w:r>
                  <w:r>
                    <w:rPr>
                      <w:rFonts w:hint="eastAsia" w:ascii="Times New Roman" w:hAnsi="Times New Roman" w:cs="Times New Roman"/>
                      <w:b/>
                      <w:sz w:val="24"/>
                      <w:szCs w:val="24"/>
                    </w:rPr>
                    <w:t>-</w:t>
                  </w:r>
                  <w:r>
                    <w:rPr>
                      <w:rFonts w:ascii="Times New Roman" w:hAnsi="Times New Roman" w:cs="Times New Roman"/>
                      <w:b/>
                      <w:sz w:val="24"/>
                      <w:szCs w:val="24"/>
                    </w:rPr>
                    <w:t>1</w:t>
                  </w:r>
                  <w:r>
                    <w:rPr>
                      <w:rFonts w:hint="eastAsia" w:ascii="Times New Roman" w:hAnsi="Times New Roman" w:cs="Times New Roman"/>
                      <w:b/>
                      <w:sz w:val="24"/>
                      <w:szCs w:val="24"/>
                    </w:rPr>
                    <w:t xml:space="preserve"> 布点方案</w:t>
                  </w:r>
                  <w:r>
                    <w:rPr>
                      <w:rFonts w:hint="eastAsia" w:ascii="Times New Roman" w:hAnsi="Times New Roman" w:cs="Times New Roman"/>
                      <w:b/>
                      <w:sz w:val="24"/>
                      <w:szCs w:val="24"/>
                      <w:lang w:val="en-US" w:eastAsia="zh-CN"/>
                    </w:rPr>
                    <w:t>图</w:t>
                  </w:r>
                </w:p>
              </w:txbxContent>
            </v:textbox>
          </v:shape>
        </w:pict>
      </w:r>
      <w:r>
        <w:rPr>
          <w:rFonts w:ascii="Times New Roman" w:hAnsi="Times New Roman" w:eastAsia="宋体"/>
        </w:rPr>
        <w:drawing>
          <wp:inline distT="0" distB="0" distL="114300" distR="114300">
            <wp:extent cx="8763000" cy="4048760"/>
            <wp:effectExtent l="0" t="0" r="0"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4"/>
                    <a:stretch>
                      <a:fillRect/>
                    </a:stretch>
                  </pic:blipFill>
                  <pic:spPr>
                    <a:xfrm>
                      <a:off x="0" y="0"/>
                      <a:ext cx="8763000" cy="4048760"/>
                    </a:xfrm>
                    <a:prstGeom prst="rect">
                      <a:avLst/>
                    </a:prstGeom>
                    <a:noFill/>
                    <a:ln>
                      <a:noFill/>
                    </a:ln>
                  </pic:spPr>
                </pic:pic>
              </a:graphicData>
            </a:graphic>
          </wp:inline>
        </w:drawing>
      </w:r>
      <w:bookmarkEnd w:id="33"/>
      <w:bookmarkEnd w:id="34"/>
      <w:bookmarkEnd w:id="35"/>
      <w:bookmarkEnd w:id="36"/>
    </w:p>
    <w:p>
      <w:pPr>
        <w:pStyle w:val="2"/>
        <w:outlineLvl w:val="1"/>
        <w:rPr>
          <w:rFonts w:hint="eastAsia" w:ascii="Times New Roman" w:hAnsi="Times New Roman" w:eastAsia="宋体" w:cs="Times New Roman"/>
          <w:sz w:val="24"/>
          <w:szCs w:val="24"/>
          <w:lang w:val="en-US" w:eastAsia="zh-CN"/>
        </w:rPr>
      </w:pPr>
      <w:bookmarkStart w:id="37" w:name="_Toc32517"/>
      <w:r>
        <w:rPr>
          <w:rFonts w:hint="eastAsia" w:ascii="Times New Roman" w:hAnsi="Times New Roman" w:eastAsia="宋体" w:cs="Times New Roman"/>
          <w:sz w:val="28"/>
          <w:szCs w:val="28"/>
          <w:lang w:val="en-US" w:eastAsia="zh-CN"/>
        </w:rPr>
        <w:t>6.2各点位布设原因分析</w:t>
      </w:r>
      <w:bookmarkEnd w:id="37"/>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考虑</w:t>
      </w:r>
      <w:r>
        <w:rPr>
          <w:rFonts w:ascii="Times New Roman" w:hAnsi="Times New Roman" w:eastAsia="宋体" w:cs="Times New Roman"/>
          <w:sz w:val="24"/>
          <w:szCs w:val="24"/>
        </w:rPr>
        <w:t>实际情况，</w:t>
      </w:r>
      <w:r>
        <w:rPr>
          <w:rFonts w:hint="eastAsia" w:ascii="Times New Roman" w:hAnsi="Times New Roman" w:eastAsia="宋体" w:cs="Times New Roman"/>
          <w:sz w:val="24"/>
          <w:szCs w:val="24"/>
        </w:rPr>
        <w:t>在地下水流经下游方向，在企业内部布设</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个土壤取样点，</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个地下水取样点，在地下水流经上游企业外部设清洁土壤取样点一个（S</w:t>
      </w:r>
      <w:r>
        <w:rPr>
          <w:rFonts w:ascii="Times New Roman" w:hAnsi="Times New Roman" w:eastAsia="宋体" w:cs="Times New Roman"/>
          <w:sz w:val="24"/>
          <w:szCs w:val="24"/>
        </w:rPr>
        <w:t>0</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）、地下水取样点一个（W</w:t>
      </w:r>
      <w:r>
        <w:rPr>
          <w:rFonts w:ascii="Times New Roman" w:hAnsi="Times New Roman" w:eastAsia="宋体" w:cs="Times New Roman"/>
          <w:sz w:val="24"/>
          <w:szCs w:val="24"/>
        </w:rPr>
        <w:t>0</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）。取样位置见</w:t>
      </w:r>
      <w:r>
        <w:rPr>
          <w:rFonts w:hint="eastAsia" w:ascii="Times New Roman" w:hAnsi="Times New Roman" w:eastAsia="宋体" w:cs="Times New Roman"/>
          <w:sz w:val="24"/>
          <w:szCs w:val="24"/>
          <w:lang w:val="en-US" w:eastAsia="zh-CN"/>
        </w:rPr>
        <w:t>表6</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-1</w:t>
      </w:r>
      <w:r>
        <w:rPr>
          <w:rFonts w:ascii="Times New Roman" w:hAnsi="Times New Roman" w:eastAsia="宋体" w:cs="Times New Roman"/>
          <w:sz w:val="24"/>
          <w:szCs w:val="24"/>
        </w:rPr>
        <w:t>。</w:t>
      </w:r>
    </w:p>
    <w:p>
      <w:pPr>
        <w:spacing w:line="360" w:lineRule="auto"/>
        <w:ind w:firstLine="482" w:firstLineChars="200"/>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表6.2-1</w:t>
      </w:r>
      <w:r>
        <w:rPr>
          <w:rFonts w:hint="eastAsia" w:ascii="Times New Roman" w:hAnsi="Times New Roman" w:eastAsia="宋体" w:cs="Times New Roman"/>
          <w:b/>
          <w:bCs/>
          <w:sz w:val="24"/>
          <w:szCs w:val="24"/>
        </w:rPr>
        <w:t>土壤点位布设原因分析</w:t>
      </w:r>
    </w:p>
    <w:tbl>
      <w:tblPr>
        <w:tblStyle w:val="20"/>
        <w:tblW w:w="93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0"/>
        <w:gridCol w:w="735"/>
        <w:gridCol w:w="668"/>
        <w:gridCol w:w="1002"/>
        <w:gridCol w:w="1006"/>
        <w:gridCol w:w="1777"/>
        <w:gridCol w:w="1442"/>
        <w:gridCol w:w="900"/>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90"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类别</w:t>
            </w:r>
          </w:p>
        </w:tc>
        <w:tc>
          <w:tcPr>
            <w:tcW w:w="735"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编号</w:t>
            </w:r>
          </w:p>
        </w:tc>
        <w:tc>
          <w:tcPr>
            <w:tcW w:w="668"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重点污染区域</w:t>
            </w:r>
          </w:p>
        </w:tc>
        <w:tc>
          <w:tcPr>
            <w:tcW w:w="5227" w:type="dxa"/>
            <w:gridSpan w:val="4"/>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布点位置</w:t>
            </w:r>
          </w:p>
        </w:tc>
        <w:tc>
          <w:tcPr>
            <w:tcW w:w="900"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hint="eastAsia" w:ascii="Times New Roman" w:hAnsi="Times New Roman" w:eastAsia="宋体"/>
                <w:sz w:val="21"/>
                <w:lang w:val="en-US" w:eastAsia="zh-CN"/>
              </w:rPr>
              <w:t>布点</w:t>
            </w:r>
            <w:r>
              <w:rPr>
                <w:rFonts w:ascii="Times New Roman" w:hAnsi="Times New Roman" w:eastAsia="宋体"/>
                <w:sz w:val="21"/>
              </w:rPr>
              <w:t>地面硬化情况</w:t>
            </w:r>
          </w:p>
        </w:tc>
        <w:tc>
          <w:tcPr>
            <w:tcW w:w="900"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ascii="Times New Roman" w:hAnsi="Times New Roman" w:eastAsia="宋体"/>
                <w:sz w:val="21"/>
              </w:rPr>
            </w:pPr>
            <w:r>
              <w:rPr>
                <w:rFonts w:hint="eastAsia" w:ascii="Times New Roman" w:hAnsi="Times New Roman" w:eastAsia="宋体"/>
                <w:sz w:val="21"/>
                <w:lang w:val="en-US" w:eastAsia="zh-CN"/>
              </w:rPr>
              <w:t>地下</w:t>
            </w:r>
            <w:r>
              <w:rPr>
                <w:rFonts w:ascii="Times New Roman" w:hAnsi="Times New Roman" w:eastAsia="宋体"/>
                <w:sz w:val="21"/>
              </w:rPr>
              <w:t>设施、储罐和管线等情况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 w:hRule="atLeast"/>
          <w:jc w:val="center"/>
        </w:trPr>
        <w:tc>
          <w:tcPr>
            <w:tcW w:w="890"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735"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668"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ascii="Times New Roman" w:hAnsi="Times New Roman" w:eastAsia="宋体"/>
                <w:sz w:val="21"/>
              </w:rPr>
              <w:t>理论布点位置</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ascii="Times New Roman" w:hAnsi="Times New Roman" w:eastAsia="宋体"/>
                <w:sz w:val="21"/>
              </w:rPr>
              <w:t>实际布点位置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点位坐标</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布</w:t>
            </w:r>
            <w:r>
              <w:rPr>
                <w:rFonts w:ascii="Times New Roman" w:hAnsi="Times New Roman" w:eastAsia="宋体"/>
                <w:sz w:val="21"/>
              </w:rPr>
              <w:t>点位置</w:t>
            </w:r>
          </w:p>
          <w:p>
            <w:pPr>
              <w:pStyle w:val="38"/>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eastAsia="宋体"/>
                <w:sz w:val="21"/>
              </w:rPr>
            </w:pPr>
            <w:r>
              <w:rPr>
                <w:rFonts w:ascii="Times New Roman" w:hAnsi="Times New Roman" w:eastAsia="宋体"/>
                <w:sz w:val="21"/>
              </w:rPr>
              <w:t>确定理由</w:t>
            </w:r>
          </w:p>
        </w:tc>
        <w:tc>
          <w:tcPr>
            <w:tcW w:w="900"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900"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jc w:val="center"/>
        </w:trPr>
        <w:tc>
          <w:tcPr>
            <w:tcW w:w="890"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20"/>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b/>
                <w:sz w:val="17"/>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土壤点位</w:t>
            </w:r>
          </w:p>
        </w:tc>
        <w:tc>
          <w:tcPr>
            <w:tcW w:w="735"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cs="Times New Roman"/>
                <w:kern w:val="2"/>
                <w:sz w:val="21"/>
                <w:szCs w:val="21"/>
                <w:lang w:val="en-US" w:eastAsia="zh-CN" w:bidi="ar-SA"/>
              </w:rPr>
              <w:t>1A01</w:t>
            </w:r>
          </w:p>
        </w:tc>
        <w:tc>
          <w:tcPr>
            <w:tcW w:w="668"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sz w:val="21"/>
                <w:lang w:eastAsia="zh-CN"/>
              </w:rPr>
            </w:pPr>
            <w:r>
              <w:rPr>
                <w:rFonts w:hint="eastAsia" w:ascii="Times New Roman" w:hAnsi="Times New Roman" w:eastAsia="宋体" w:cs="宋体"/>
                <w:kern w:val="2"/>
                <w:sz w:val="24"/>
                <w:szCs w:val="24"/>
                <w:vertAlign w:val="baseline"/>
                <w:lang w:val="en-US" w:eastAsia="zh-CN" w:bidi="ar-SA"/>
              </w:rPr>
              <w:t>罐区及甲类库</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地下罐区</w:t>
            </w:r>
            <w:r>
              <w:rPr>
                <w:rFonts w:hint="eastAsia" w:ascii="Times New Roman" w:hAnsi="Times New Roman" w:cs="宋体"/>
                <w:kern w:val="2"/>
                <w:sz w:val="21"/>
                <w:szCs w:val="22"/>
                <w:lang w:val="en-US" w:eastAsia="zh-CN" w:bidi="zh-CN"/>
              </w:rPr>
              <w:t>北</w:t>
            </w:r>
            <w:r>
              <w:rPr>
                <w:rFonts w:hint="eastAsia" w:ascii="Times New Roman" w:hAnsi="Times New Roman" w:eastAsia="宋体" w:cs="宋体"/>
                <w:kern w:val="2"/>
                <w:sz w:val="21"/>
                <w:szCs w:val="22"/>
                <w:lang w:val="en-US" w:eastAsia="zh-CN" w:bidi="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sz w:val="21"/>
                <w:lang w:val="en-US" w:eastAsia="zh-CN"/>
              </w:rPr>
            </w:pPr>
            <w:r>
              <w:rPr>
                <w:rFonts w:ascii="Times New Roman" w:hAnsi="Times New Roman" w:eastAsia="宋体"/>
                <w:sz w:val="21"/>
              </w:rPr>
              <w:t>同理论布点位置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sz w:val="21"/>
              </w:rPr>
            </w:pPr>
            <w:r>
              <w:rPr>
                <w:rFonts w:hint="eastAsia" w:ascii="Times New Roman" w:hAnsi="Times New Roman" w:eastAsia="宋体"/>
                <w:sz w:val="21"/>
              </w:rPr>
              <w:t>121°2'24.12"东32°32'4.25"北</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hint="eastAsia" w:ascii="Times New Roman" w:hAnsi="Times New Roman" w:eastAsia="宋体"/>
                <w:spacing w:val="-11"/>
                <w:sz w:val="21"/>
                <w:lang w:val="en-US" w:eastAsia="zh-CN"/>
              </w:rPr>
              <w:t>检测废液跑冒滴漏</w:t>
            </w:r>
            <w:r>
              <w:rPr>
                <w:rFonts w:ascii="Times New Roman" w:hAnsi="Times New Roman" w:eastAsia="宋体"/>
                <w:spacing w:val="-11"/>
                <w:sz w:val="21"/>
              </w:rPr>
              <w:t>，因此</w:t>
            </w:r>
            <w:r>
              <w:rPr>
                <w:rFonts w:ascii="Times New Roman" w:hAnsi="Times New Roman" w:eastAsia="宋体"/>
                <w:sz w:val="21"/>
              </w:rPr>
              <w:t>确认该点位。</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z w:val="21"/>
                <w:lang w:eastAsia="zh-CN"/>
              </w:rPr>
            </w:pPr>
            <w:r>
              <w:rPr>
                <w:rFonts w:hint="eastAsia" w:ascii="Times New Roman" w:hAnsi="Times New Roman" w:eastAsia="宋体"/>
                <w:w w:val="95"/>
                <w:sz w:val="21"/>
                <w:lang w:val="en-US" w:eastAsia="zh-CN"/>
              </w:rPr>
              <w:t>硬化</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jc w:val="center"/>
        </w:trPr>
        <w:tc>
          <w:tcPr>
            <w:tcW w:w="8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735"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cs="Times New Roman"/>
                <w:kern w:val="2"/>
                <w:sz w:val="21"/>
                <w:szCs w:val="21"/>
                <w:lang w:val="en-US" w:eastAsia="zh-CN" w:bidi="ar-SA"/>
              </w:rPr>
              <w:t>1B01</w:t>
            </w:r>
          </w:p>
        </w:tc>
        <w:tc>
          <w:tcPr>
            <w:tcW w:w="668"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cs="宋体"/>
                <w:kern w:val="2"/>
                <w:sz w:val="24"/>
                <w:szCs w:val="24"/>
                <w:vertAlign w:val="baseline"/>
                <w:lang w:val="en-US" w:eastAsia="zh-CN" w:bidi="ar-SA"/>
              </w:rPr>
              <w:t>生产区</w:t>
            </w:r>
          </w:p>
        </w:tc>
        <w:tc>
          <w:tcPr>
            <w:tcW w:w="1002" w:type="dxa"/>
            <w:noWrap w:val="0"/>
            <w:vAlign w:val="center"/>
          </w:tcPr>
          <w:p>
            <w:pPr>
              <w:keepNext w:val="0"/>
              <w:keepLines w:val="0"/>
              <w:widowControl/>
              <w:suppressLineNumbers w:val="0"/>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宋体"/>
                <w:sz w:val="21"/>
                <w:szCs w:val="21"/>
                <w:lang w:val="en-US" w:eastAsia="zh-CN"/>
              </w:rPr>
              <w:t>氯化苄联产及频哪酮车间北侧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sz w:val="21"/>
                <w:lang w:val="en-US" w:eastAsia="zh-CN"/>
              </w:rPr>
            </w:pPr>
            <w:r>
              <w:rPr>
                <w:rFonts w:ascii="Times New Roman" w:hAnsi="Times New Roman" w:eastAsia="宋体"/>
                <w:sz w:val="21"/>
              </w:rPr>
              <w:t>同理论布点位置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sz w:val="21"/>
                <w:lang w:val="en-US" w:eastAsia="zh-CN"/>
              </w:rPr>
            </w:pPr>
            <w:r>
              <w:rPr>
                <w:rFonts w:hint="eastAsia" w:ascii="Times New Roman" w:hAnsi="Times New Roman" w:eastAsia="宋体"/>
                <w:sz w:val="21"/>
              </w:rPr>
              <w:t>121° 2'21.71"东 32°32'2.44"北</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pacing w:val="-11"/>
                <w:sz w:val="21"/>
                <w:lang w:val="en-US" w:eastAsia="zh-CN"/>
              </w:rPr>
              <w:t>车间应急池北侧</w:t>
            </w:r>
            <w:r>
              <w:rPr>
                <w:rFonts w:ascii="Times New Roman" w:hAnsi="Times New Roman" w:eastAsia="宋体"/>
                <w:spacing w:val="-11"/>
                <w:sz w:val="21"/>
              </w:rPr>
              <w:t>，因此</w:t>
            </w:r>
            <w:r>
              <w:rPr>
                <w:rFonts w:ascii="Times New Roman" w:hAnsi="Times New Roman" w:eastAsia="宋体"/>
                <w:sz w:val="21"/>
              </w:rPr>
              <w:t>确认该点位。</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硬化</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jc w:val="center"/>
        </w:trPr>
        <w:tc>
          <w:tcPr>
            <w:tcW w:w="8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735"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cs="Times New Roman"/>
                <w:kern w:val="2"/>
                <w:sz w:val="21"/>
                <w:szCs w:val="21"/>
                <w:lang w:val="en-US" w:eastAsia="zh-CN" w:bidi="ar-SA"/>
              </w:rPr>
              <w:t>1B02</w:t>
            </w:r>
          </w:p>
        </w:tc>
        <w:tc>
          <w:tcPr>
            <w:tcW w:w="668"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sz w:val="21"/>
                <w:lang w:val="en-US" w:eastAsia="zh-CN"/>
              </w:rPr>
            </w:pPr>
            <w:r>
              <w:rPr>
                <w:rFonts w:hint="eastAsia" w:ascii="Times New Roman" w:hAnsi="Times New Roman" w:eastAsia="宋体" w:cs="宋体"/>
                <w:kern w:val="2"/>
                <w:sz w:val="24"/>
                <w:szCs w:val="24"/>
                <w:vertAlign w:val="baseline"/>
                <w:lang w:val="en-US" w:eastAsia="zh-CN" w:bidi="ar-SA"/>
              </w:rPr>
              <w:t>生产区</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sz w:val="21"/>
                <w:szCs w:val="21"/>
                <w:lang w:val="en-US" w:eastAsia="zh-CN"/>
              </w:rPr>
              <w:t>一、二氯频哪酮车间</w:t>
            </w:r>
            <w:r>
              <w:rPr>
                <w:rFonts w:hint="eastAsia" w:ascii="Times New Roman" w:hAnsi="Times New Roman" w:cs="宋体"/>
                <w:sz w:val="21"/>
                <w:szCs w:val="21"/>
                <w:lang w:val="en-US" w:eastAsia="zh-CN"/>
              </w:rPr>
              <w:t>北</w:t>
            </w:r>
            <w:r>
              <w:rPr>
                <w:rFonts w:hint="eastAsia" w:ascii="Times New Roman" w:hAnsi="Times New Roman" w:eastAsia="宋体" w:cs="宋体"/>
                <w:sz w:val="21"/>
                <w:szCs w:val="21"/>
                <w:lang w:val="en-US" w:eastAsia="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sz w:val="21"/>
                <w:lang w:val="en-US" w:eastAsia="zh-CN"/>
              </w:rPr>
            </w:pPr>
            <w:r>
              <w:rPr>
                <w:rFonts w:ascii="Times New Roman" w:hAnsi="Times New Roman" w:eastAsia="宋体"/>
                <w:sz w:val="21"/>
              </w:rPr>
              <w:t>同理论布点位置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sz w:val="21"/>
              </w:rPr>
            </w:pPr>
            <w:r>
              <w:rPr>
                <w:rFonts w:hint="eastAsia" w:ascii="Times New Roman" w:hAnsi="Times New Roman" w:eastAsia="宋体"/>
                <w:sz w:val="21"/>
              </w:rPr>
              <w:t>121° 2'20.91"东  32°32'0.81"北</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hanging="20"/>
              <w:jc w:val="center"/>
              <w:textAlignment w:val="auto"/>
              <w:rPr>
                <w:rFonts w:ascii="Times New Roman" w:hAnsi="Times New Roman" w:eastAsia="宋体"/>
                <w:sz w:val="21"/>
              </w:rPr>
            </w:pPr>
            <w:r>
              <w:rPr>
                <w:rFonts w:hint="eastAsia" w:ascii="Times New Roman" w:hAnsi="Times New Roman" w:eastAsia="宋体"/>
                <w:spacing w:val="-11"/>
                <w:sz w:val="21"/>
                <w:lang w:val="en-US" w:eastAsia="zh-CN"/>
              </w:rPr>
              <w:t>车间应急池北侧</w:t>
            </w:r>
            <w:r>
              <w:rPr>
                <w:rFonts w:ascii="Times New Roman" w:hAnsi="Times New Roman" w:eastAsia="宋体"/>
                <w:spacing w:val="-9"/>
                <w:sz w:val="21"/>
              </w:rPr>
              <w:t>，因此确认该</w:t>
            </w:r>
            <w:r>
              <w:rPr>
                <w:rFonts w:ascii="Times New Roman" w:hAnsi="Times New Roman" w:eastAsia="宋体"/>
                <w:sz w:val="21"/>
              </w:rPr>
              <w:t>点位。</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硬化</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jc w:val="center"/>
        </w:trPr>
        <w:tc>
          <w:tcPr>
            <w:tcW w:w="8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735"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1C01</w:t>
            </w:r>
          </w:p>
        </w:tc>
        <w:tc>
          <w:tcPr>
            <w:tcW w:w="668"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sz w:val="21"/>
                <w:lang w:val="en-US" w:eastAsia="zh-CN"/>
              </w:rPr>
            </w:pPr>
            <w:r>
              <w:rPr>
                <w:rFonts w:hint="eastAsia" w:ascii="Times New Roman" w:hAnsi="Times New Roman" w:eastAsia="宋体" w:cs="宋体"/>
                <w:kern w:val="2"/>
                <w:sz w:val="24"/>
                <w:szCs w:val="24"/>
                <w:vertAlign w:val="baseline"/>
                <w:lang w:val="en-US" w:eastAsia="zh-CN" w:bidi="ar-SA"/>
              </w:rPr>
              <w:t>仓库区</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cs="宋体"/>
                <w:kern w:val="2"/>
                <w:sz w:val="21"/>
                <w:szCs w:val="22"/>
                <w:lang w:val="en-US" w:eastAsia="zh-CN" w:bidi="zh-CN"/>
              </w:rPr>
              <w:t>盐酸罐区北</w:t>
            </w:r>
            <w:r>
              <w:rPr>
                <w:rFonts w:hint="eastAsia" w:ascii="Times New Roman" w:hAnsi="Times New Roman" w:eastAsia="宋体" w:cs="宋体"/>
                <w:kern w:val="2"/>
                <w:sz w:val="21"/>
                <w:szCs w:val="22"/>
                <w:lang w:val="en-US" w:eastAsia="zh-CN" w:bidi="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ascii="Times New Roman" w:hAnsi="Times New Roman" w:eastAsia="宋体"/>
                <w:sz w:val="21"/>
              </w:rPr>
              <w:t>同理论布点位置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sz w:val="21"/>
              </w:rPr>
            </w:pPr>
            <w:r>
              <w:rPr>
                <w:rFonts w:hint="eastAsia" w:ascii="Times New Roman" w:hAnsi="Times New Roman" w:eastAsia="宋体"/>
                <w:sz w:val="21"/>
              </w:rPr>
              <w:t>121° 2'20.38"东 32°31'59.17"北</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hanging="20"/>
              <w:jc w:val="center"/>
              <w:textAlignment w:val="auto"/>
              <w:rPr>
                <w:rFonts w:ascii="Times New Roman" w:hAnsi="Times New Roman" w:eastAsia="宋体"/>
                <w:sz w:val="21"/>
              </w:rPr>
            </w:pPr>
            <w:r>
              <w:rPr>
                <w:rFonts w:hint="eastAsia" w:ascii="Times New Roman" w:hAnsi="Times New Roman" w:eastAsia="宋体"/>
                <w:spacing w:val="-11"/>
                <w:sz w:val="21"/>
                <w:lang w:val="en-US" w:eastAsia="zh-CN"/>
              </w:rPr>
              <w:t>检测废液跑冒滴漏</w:t>
            </w:r>
            <w:r>
              <w:rPr>
                <w:rFonts w:ascii="Times New Roman" w:hAnsi="Times New Roman" w:eastAsia="宋体"/>
                <w:spacing w:val="-9"/>
                <w:sz w:val="21"/>
              </w:rPr>
              <w:t>，因此确认该</w:t>
            </w:r>
            <w:r>
              <w:rPr>
                <w:rFonts w:ascii="Times New Roman" w:hAnsi="Times New Roman" w:eastAsia="宋体"/>
                <w:sz w:val="21"/>
              </w:rPr>
              <w:t>点位。</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硬化</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jc w:val="center"/>
        </w:trPr>
        <w:tc>
          <w:tcPr>
            <w:tcW w:w="890"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0"/>
              </w:rPr>
            </w:pPr>
          </w:p>
        </w:tc>
        <w:tc>
          <w:tcPr>
            <w:tcW w:w="735"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w w:val="99"/>
                <w:sz w:val="21"/>
                <w:lang w:val="en-US" w:eastAsia="zh-CN"/>
              </w:rPr>
            </w:pPr>
            <w:r>
              <w:rPr>
                <w:rFonts w:hint="eastAsia" w:ascii="Times New Roman" w:hAnsi="Times New Roman" w:eastAsia="宋体"/>
                <w:w w:val="99"/>
                <w:sz w:val="21"/>
                <w:lang w:val="en-US" w:eastAsia="zh-CN"/>
              </w:rPr>
              <w:t>1D01</w:t>
            </w:r>
          </w:p>
        </w:tc>
        <w:tc>
          <w:tcPr>
            <w:tcW w:w="668"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污水处理区</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cs="Times New Roman"/>
                <w:kern w:val="2"/>
                <w:sz w:val="21"/>
                <w:szCs w:val="21"/>
                <w:lang w:val="en-US" w:eastAsia="zh-CN" w:bidi="ar-SA"/>
              </w:rPr>
              <w:t>污水处理站西侧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default" w:ascii="Times New Roman" w:hAnsi="Times New Roman" w:eastAsia="宋体"/>
                <w:sz w:val="21"/>
                <w:lang w:val="en-US" w:eastAsia="zh-CN"/>
              </w:rPr>
            </w:pPr>
            <w:r>
              <w:rPr>
                <w:rFonts w:ascii="Times New Roman" w:hAnsi="Times New Roman" w:eastAsia="宋体"/>
                <w:sz w:val="21"/>
              </w:rPr>
              <w:t>同理论布点位置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sz w:val="21"/>
                <w:lang w:val="en-US" w:eastAsia="zh-CN"/>
              </w:rPr>
            </w:pPr>
            <w:r>
              <w:rPr>
                <w:rFonts w:hint="eastAsia" w:ascii="Times New Roman" w:hAnsi="Times New Roman" w:eastAsia="宋体"/>
                <w:sz w:val="21"/>
                <w:lang w:val="en-US" w:eastAsia="zh-CN"/>
              </w:rPr>
              <w:t>121° 2'25.62"东 32°32'3.27"北</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hanging="20"/>
              <w:jc w:val="center"/>
              <w:textAlignment w:val="auto"/>
              <w:rPr>
                <w:rFonts w:ascii="Times New Roman" w:hAnsi="Times New Roman" w:eastAsia="宋体"/>
                <w:sz w:val="21"/>
              </w:rPr>
            </w:pPr>
            <w:r>
              <w:rPr>
                <w:rFonts w:hint="eastAsia" w:ascii="Times New Roman" w:hAnsi="Times New Roman" w:eastAsia="宋体"/>
                <w:spacing w:val="-11"/>
                <w:sz w:val="21"/>
                <w:lang w:val="en-US" w:eastAsia="zh-CN"/>
              </w:rPr>
              <w:t>西侧为收集池，检测废液跑冒滴漏</w:t>
            </w:r>
            <w:r>
              <w:rPr>
                <w:rFonts w:ascii="Times New Roman" w:hAnsi="Times New Roman" w:eastAsia="宋体"/>
                <w:spacing w:val="-9"/>
                <w:sz w:val="21"/>
              </w:rPr>
              <w:t>，因此确认该</w:t>
            </w:r>
            <w:r>
              <w:rPr>
                <w:rFonts w:ascii="Times New Roman" w:hAnsi="Times New Roman" w:eastAsia="宋体"/>
                <w:sz w:val="21"/>
              </w:rPr>
              <w:t>点位</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硬化</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2" w:hRule="atLeast"/>
          <w:jc w:val="center"/>
        </w:trPr>
        <w:tc>
          <w:tcPr>
            <w:tcW w:w="890" w:type="dxa"/>
            <w:vMerge w:val="continue"/>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0"/>
              </w:rPr>
            </w:pPr>
          </w:p>
        </w:tc>
        <w:tc>
          <w:tcPr>
            <w:tcW w:w="735"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w w:val="99"/>
                <w:sz w:val="21"/>
                <w:lang w:val="en-US" w:eastAsia="zh-CN"/>
              </w:rPr>
            </w:pPr>
            <w:r>
              <w:rPr>
                <w:rFonts w:hint="eastAsia" w:ascii="Times New Roman" w:hAnsi="Times New Roman" w:eastAsia="宋体"/>
                <w:w w:val="99"/>
                <w:sz w:val="21"/>
                <w:lang w:val="en-US" w:eastAsia="zh-CN"/>
              </w:rPr>
              <w:t>S01</w:t>
            </w:r>
          </w:p>
        </w:tc>
        <w:tc>
          <w:tcPr>
            <w:tcW w:w="668"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对照点</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sz w:val="21"/>
                <w:lang w:val="en-US" w:eastAsia="zh-CN"/>
              </w:rPr>
              <w:t>附房南</w:t>
            </w:r>
            <w:r>
              <w:rPr>
                <w:rFonts w:hint="eastAsia" w:ascii="Times New Roman" w:hAnsi="Times New Roman" w:eastAsia="宋体"/>
                <w:sz w:val="21"/>
                <w:lang w:val="en-US" w:eastAsia="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ascii="Times New Roman" w:hAnsi="Times New Roman" w:eastAsia="宋体" w:cs="宋体"/>
                <w:kern w:val="2"/>
                <w:sz w:val="21"/>
                <w:szCs w:val="22"/>
                <w:lang w:val="zh-CN" w:eastAsia="zh-CN" w:bidi="zh-CN"/>
              </w:rPr>
            </w:pPr>
            <w:r>
              <w:rPr>
                <w:rFonts w:ascii="Times New Roman" w:hAnsi="Times New Roman" w:eastAsia="宋体"/>
                <w:sz w:val="21"/>
              </w:rPr>
              <w:t>同理论布点位置</w:t>
            </w:r>
          </w:p>
        </w:tc>
        <w:tc>
          <w:tcPr>
            <w:tcW w:w="1777"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sz w:val="21"/>
              </w:rPr>
            </w:pPr>
            <w:r>
              <w:rPr>
                <w:rFonts w:hint="eastAsia" w:ascii="Times New Roman" w:hAnsi="Times New Roman" w:eastAsia="宋体"/>
                <w:sz w:val="21"/>
              </w:rPr>
              <w:t>121° 2'23.40"东  32°31'57.71"北</w:t>
            </w:r>
          </w:p>
        </w:tc>
        <w:tc>
          <w:tcPr>
            <w:tcW w:w="144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pacing w:val="-9"/>
                <w:sz w:val="21"/>
                <w:lang w:val="en-US" w:eastAsia="zh-CN"/>
              </w:rPr>
              <w:t>初步判断地下水流向自南向北</w:t>
            </w:r>
            <w:r>
              <w:rPr>
                <w:rFonts w:ascii="Times New Roman" w:hAnsi="Times New Roman" w:eastAsia="宋体"/>
                <w:spacing w:val="-9"/>
                <w:sz w:val="21"/>
              </w:rPr>
              <w:t>，因此确认该</w:t>
            </w:r>
            <w:r>
              <w:rPr>
                <w:rFonts w:ascii="Times New Roman" w:hAnsi="Times New Roman" w:eastAsia="宋体"/>
                <w:sz w:val="21"/>
              </w:rPr>
              <w:t>点位</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草地</w:t>
            </w:r>
          </w:p>
        </w:tc>
        <w:tc>
          <w:tcPr>
            <w:tcW w:w="90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ascii="Times New Roman" w:hAnsi="Times New Roman" w:eastAsia="宋体"/>
                <w:w w:val="99"/>
                <w:sz w:val="21"/>
              </w:rPr>
              <w:t>无</w:t>
            </w:r>
          </w:p>
        </w:tc>
      </w:tr>
    </w:tbl>
    <w:p>
      <w:pPr>
        <w:spacing w:line="360" w:lineRule="auto"/>
        <w:ind w:firstLine="482" w:firstLineChars="200"/>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rPr>
        <w:t xml:space="preserve">表 </w:t>
      </w:r>
      <w:r>
        <w:rPr>
          <w:rFonts w:hint="eastAsia" w:ascii="Times New Roman" w:hAnsi="Times New Roman" w:eastAsia="宋体" w:cs="Times New Roman"/>
          <w:b/>
          <w:bCs/>
          <w:sz w:val="24"/>
          <w:szCs w:val="24"/>
          <w:highlight w:val="none"/>
          <w:lang w:val="en-US" w:eastAsia="zh-CN"/>
        </w:rPr>
        <w:t>6</w:t>
      </w:r>
      <w:r>
        <w:rPr>
          <w:rFonts w:hint="eastAsia" w:ascii="Times New Roman" w:hAnsi="Times New Roman" w:eastAsia="宋体" w:cs="Times New Roman"/>
          <w:b/>
          <w:bCs/>
          <w:sz w:val="24"/>
          <w:szCs w:val="24"/>
          <w:highlight w:val="none"/>
        </w:rPr>
        <w:t>.2-2 地下水点位布设原因分析</w:t>
      </w:r>
    </w:p>
    <w:tbl>
      <w:tblPr>
        <w:tblStyle w:val="20"/>
        <w:tblW w:w="94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3"/>
        <w:gridCol w:w="604"/>
        <w:gridCol w:w="713"/>
        <w:gridCol w:w="1002"/>
        <w:gridCol w:w="1006"/>
        <w:gridCol w:w="1791"/>
        <w:gridCol w:w="1470"/>
        <w:gridCol w:w="832"/>
        <w:gridCol w:w="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1013"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类别</w:t>
            </w:r>
          </w:p>
        </w:tc>
        <w:tc>
          <w:tcPr>
            <w:tcW w:w="604"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编号</w:t>
            </w:r>
          </w:p>
        </w:tc>
        <w:tc>
          <w:tcPr>
            <w:tcW w:w="713"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重点污染区域</w:t>
            </w:r>
          </w:p>
        </w:tc>
        <w:tc>
          <w:tcPr>
            <w:tcW w:w="5269" w:type="dxa"/>
            <w:gridSpan w:val="4"/>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布点位置</w:t>
            </w:r>
          </w:p>
        </w:tc>
        <w:tc>
          <w:tcPr>
            <w:tcW w:w="832"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hint="eastAsia" w:ascii="Times New Roman" w:hAnsi="Times New Roman" w:eastAsia="宋体"/>
                <w:sz w:val="21"/>
                <w:lang w:val="en-US" w:eastAsia="zh-CN"/>
              </w:rPr>
              <w:t>布点</w:t>
            </w:r>
            <w:r>
              <w:rPr>
                <w:rFonts w:ascii="Times New Roman" w:hAnsi="Times New Roman" w:eastAsia="宋体"/>
                <w:sz w:val="21"/>
              </w:rPr>
              <w:t>地面硬化情况</w:t>
            </w:r>
          </w:p>
        </w:tc>
        <w:tc>
          <w:tcPr>
            <w:tcW w:w="990"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ascii="Times New Roman" w:hAnsi="Times New Roman" w:eastAsia="宋体"/>
                <w:sz w:val="21"/>
              </w:rPr>
            </w:pPr>
            <w:r>
              <w:rPr>
                <w:rFonts w:hint="eastAsia" w:ascii="Times New Roman" w:hAnsi="Times New Roman" w:eastAsia="宋体"/>
                <w:sz w:val="21"/>
                <w:lang w:val="en-US" w:eastAsia="zh-CN"/>
              </w:rPr>
              <w:t>地下</w:t>
            </w:r>
            <w:r>
              <w:rPr>
                <w:rFonts w:ascii="Times New Roman" w:hAnsi="Times New Roman" w:eastAsia="宋体"/>
                <w:sz w:val="21"/>
              </w:rPr>
              <w:t>设施、储罐和管线等情况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jc w:val="center"/>
        </w:trPr>
        <w:tc>
          <w:tcPr>
            <w:tcW w:w="101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604"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71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ascii="Times New Roman" w:hAnsi="Times New Roman" w:eastAsia="宋体"/>
                <w:sz w:val="21"/>
              </w:rPr>
              <w:t>理论布点位置</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rFonts w:ascii="Times New Roman" w:hAnsi="Times New Roman" w:eastAsia="宋体"/>
                <w:sz w:val="21"/>
              </w:rPr>
            </w:pPr>
            <w:r>
              <w:rPr>
                <w:rFonts w:ascii="Times New Roman" w:hAnsi="Times New Roman" w:eastAsia="宋体"/>
                <w:sz w:val="21"/>
              </w:rPr>
              <w:t>实际布点位置</w:t>
            </w:r>
          </w:p>
        </w:tc>
        <w:tc>
          <w:tcPr>
            <w:tcW w:w="1791"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点位坐标</w:t>
            </w:r>
          </w:p>
        </w:tc>
        <w:tc>
          <w:tcPr>
            <w:tcW w:w="14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布</w:t>
            </w:r>
            <w:r>
              <w:rPr>
                <w:rFonts w:ascii="Times New Roman" w:hAnsi="Times New Roman" w:eastAsia="宋体"/>
                <w:sz w:val="21"/>
              </w:rPr>
              <w:t>点位置</w:t>
            </w:r>
          </w:p>
          <w:p>
            <w:pPr>
              <w:pStyle w:val="38"/>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eastAsia="宋体"/>
                <w:sz w:val="21"/>
              </w:rPr>
            </w:pPr>
            <w:r>
              <w:rPr>
                <w:rFonts w:ascii="Times New Roman" w:hAnsi="Times New Roman" w:eastAsia="宋体"/>
                <w:sz w:val="21"/>
              </w:rPr>
              <w:t>确定理由</w:t>
            </w:r>
          </w:p>
        </w:tc>
        <w:tc>
          <w:tcPr>
            <w:tcW w:w="832"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990"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jc w:val="center"/>
        </w:trPr>
        <w:tc>
          <w:tcPr>
            <w:tcW w:w="1013" w:type="dxa"/>
            <w:vMerge w:val="restart"/>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地下水</w:t>
            </w:r>
            <w:r>
              <w:rPr>
                <w:rFonts w:ascii="Times New Roman" w:hAnsi="Times New Roman" w:eastAsia="宋体"/>
                <w:sz w:val="21"/>
              </w:rPr>
              <w:t>点位</w:t>
            </w:r>
          </w:p>
        </w:tc>
        <w:tc>
          <w:tcPr>
            <w:tcW w:w="604"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cs="Times New Roman"/>
                <w:kern w:val="2"/>
                <w:sz w:val="21"/>
                <w:szCs w:val="21"/>
                <w:lang w:val="en-US" w:eastAsia="zh-CN" w:bidi="ar-SA"/>
              </w:rPr>
              <w:t>2A01</w:t>
            </w:r>
          </w:p>
        </w:tc>
        <w:tc>
          <w:tcPr>
            <w:tcW w:w="713"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罐区及甲类库</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地下罐区</w:t>
            </w:r>
            <w:r>
              <w:rPr>
                <w:rFonts w:hint="eastAsia" w:ascii="Times New Roman" w:hAnsi="Times New Roman" w:cs="宋体"/>
                <w:kern w:val="2"/>
                <w:sz w:val="21"/>
                <w:szCs w:val="22"/>
                <w:lang w:val="en-US" w:eastAsia="zh-CN" w:bidi="zh-CN"/>
              </w:rPr>
              <w:t>北</w:t>
            </w:r>
            <w:r>
              <w:rPr>
                <w:rFonts w:hint="eastAsia" w:ascii="Times New Roman" w:hAnsi="Times New Roman" w:eastAsia="宋体" w:cs="宋体"/>
                <w:kern w:val="2"/>
                <w:sz w:val="21"/>
                <w:szCs w:val="22"/>
                <w:lang w:val="en-US" w:eastAsia="zh-CN" w:bidi="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ascii="Times New Roman" w:hAnsi="Times New Roman" w:eastAsia="宋体"/>
                <w:sz w:val="21"/>
              </w:rPr>
              <w:t>同理论布点位置</w:t>
            </w:r>
          </w:p>
        </w:tc>
        <w:tc>
          <w:tcPr>
            <w:tcW w:w="1791"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sz w:val="21"/>
              </w:rPr>
              <w:t>121° 2'24.12"东32°32'4.25"北</w:t>
            </w:r>
          </w:p>
        </w:tc>
        <w:tc>
          <w:tcPr>
            <w:tcW w:w="14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spacing w:val="-11"/>
                <w:sz w:val="21"/>
                <w:lang w:val="en-US" w:eastAsia="zh-CN"/>
              </w:rPr>
              <w:t>检测废液跑冒滴漏</w:t>
            </w:r>
            <w:r>
              <w:rPr>
                <w:rFonts w:ascii="Times New Roman" w:hAnsi="Times New Roman" w:eastAsia="宋体"/>
                <w:spacing w:val="-11"/>
                <w:sz w:val="21"/>
              </w:rPr>
              <w:t>，因此</w:t>
            </w:r>
            <w:r>
              <w:rPr>
                <w:rFonts w:ascii="Times New Roman" w:hAnsi="Times New Roman" w:eastAsia="宋体"/>
                <w:sz w:val="21"/>
              </w:rPr>
              <w:t>确认该点位。</w:t>
            </w:r>
          </w:p>
        </w:tc>
        <w:tc>
          <w:tcPr>
            <w:tcW w:w="83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硬化</w:t>
            </w:r>
          </w:p>
        </w:tc>
        <w:tc>
          <w:tcPr>
            <w:tcW w:w="9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6" w:hRule="atLeast"/>
          <w:jc w:val="center"/>
        </w:trPr>
        <w:tc>
          <w:tcPr>
            <w:tcW w:w="101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604"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cs="Times New Roman"/>
                <w:kern w:val="2"/>
                <w:sz w:val="21"/>
                <w:szCs w:val="21"/>
                <w:lang w:val="en-US" w:eastAsia="zh-CN" w:bidi="ar-SA"/>
              </w:rPr>
              <w:t>2B01</w:t>
            </w:r>
          </w:p>
        </w:tc>
        <w:tc>
          <w:tcPr>
            <w:tcW w:w="713"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生产区</w:t>
            </w:r>
          </w:p>
        </w:tc>
        <w:tc>
          <w:tcPr>
            <w:tcW w:w="1002" w:type="dxa"/>
            <w:noWrap w:val="0"/>
            <w:vAlign w:val="center"/>
          </w:tcPr>
          <w:p>
            <w:pPr>
              <w:keepNext w:val="0"/>
              <w:keepLines w:val="0"/>
              <w:widowControl/>
              <w:suppressLineNumbers w:val="0"/>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宋体"/>
                <w:sz w:val="21"/>
                <w:szCs w:val="21"/>
                <w:lang w:val="en-US" w:eastAsia="zh-CN"/>
              </w:rPr>
              <w:t>氯化苄联产及频哪酮车间北侧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ascii="Times New Roman" w:hAnsi="Times New Roman" w:eastAsia="宋体"/>
                <w:sz w:val="21"/>
              </w:rPr>
              <w:t>同理论布点位置</w:t>
            </w:r>
          </w:p>
        </w:tc>
        <w:tc>
          <w:tcPr>
            <w:tcW w:w="1791"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rPr>
              <w:t>121° 2'21.71"东 32°32'2.44"北</w:t>
            </w:r>
          </w:p>
        </w:tc>
        <w:tc>
          <w:tcPr>
            <w:tcW w:w="14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spacing w:val="-11"/>
                <w:sz w:val="21"/>
                <w:lang w:val="en-US" w:eastAsia="zh-CN"/>
              </w:rPr>
              <w:t>车间应急池北侧</w:t>
            </w:r>
            <w:r>
              <w:rPr>
                <w:rFonts w:ascii="Times New Roman" w:hAnsi="Times New Roman" w:eastAsia="宋体"/>
                <w:spacing w:val="-11"/>
                <w:sz w:val="21"/>
              </w:rPr>
              <w:t>，因此</w:t>
            </w:r>
            <w:r>
              <w:rPr>
                <w:rFonts w:ascii="Times New Roman" w:hAnsi="Times New Roman" w:eastAsia="宋体"/>
                <w:sz w:val="21"/>
              </w:rPr>
              <w:t>确认该点位。</w:t>
            </w:r>
          </w:p>
        </w:tc>
        <w:tc>
          <w:tcPr>
            <w:tcW w:w="83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硬化</w:t>
            </w:r>
          </w:p>
        </w:tc>
        <w:tc>
          <w:tcPr>
            <w:tcW w:w="9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jc w:val="center"/>
        </w:trPr>
        <w:tc>
          <w:tcPr>
            <w:tcW w:w="101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604"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2C01</w:t>
            </w:r>
          </w:p>
        </w:tc>
        <w:tc>
          <w:tcPr>
            <w:tcW w:w="713"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仓库区</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cs="宋体"/>
                <w:kern w:val="2"/>
                <w:sz w:val="21"/>
                <w:szCs w:val="22"/>
                <w:lang w:val="en-US" w:eastAsia="zh-CN" w:bidi="zh-CN"/>
              </w:rPr>
              <w:t>盐酸罐区北</w:t>
            </w:r>
            <w:r>
              <w:rPr>
                <w:rFonts w:hint="eastAsia" w:ascii="Times New Roman" w:hAnsi="Times New Roman" w:eastAsia="宋体" w:cs="宋体"/>
                <w:kern w:val="2"/>
                <w:sz w:val="21"/>
                <w:szCs w:val="22"/>
                <w:lang w:val="en-US" w:eastAsia="zh-CN" w:bidi="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ascii="Times New Roman" w:hAnsi="Times New Roman" w:eastAsia="宋体"/>
                <w:sz w:val="21"/>
              </w:rPr>
              <w:t>同理论布点位置</w:t>
            </w:r>
          </w:p>
        </w:tc>
        <w:tc>
          <w:tcPr>
            <w:tcW w:w="1791"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rPr>
              <w:t>121° 2'20.38"东 32°31'59.17"北</w:t>
            </w:r>
          </w:p>
        </w:tc>
        <w:tc>
          <w:tcPr>
            <w:tcW w:w="14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hanging="20" w:firstLineChars="0"/>
              <w:jc w:val="center"/>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spacing w:val="-11"/>
                <w:sz w:val="21"/>
                <w:lang w:val="en-US" w:eastAsia="zh-CN"/>
              </w:rPr>
              <w:t>检测废液跑冒滴漏</w:t>
            </w:r>
            <w:r>
              <w:rPr>
                <w:rFonts w:ascii="Times New Roman" w:hAnsi="Times New Roman" w:eastAsia="宋体"/>
                <w:spacing w:val="-9"/>
                <w:sz w:val="21"/>
              </w:rPr>
              <w:t>，因此确认该</w:t>
            </w:r>
            <w:r>
              <w:rPr>
                <w:rFonts w:ascii="Times New Roman" w:hAnsi="Times New Roman" w:eastAsia="宋体"/>
                <w:sz w:val="21"/>
              </w:rPr>
              <w:t>点位。</w:t>
            </w:r>
          </w:p>
        </w:tc>
        <w:tc>
          <w:tcPr>
            <w:tcW w:w="83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硬化</w:t>
            </w:r>
          </w:p>
        </w:tc>
        <w:tc>
          <w:tcPr>
            <w:tcW w:w="9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jc w:val="center"/>
        </w:trPr>
        <w:tc>
          <w:tcPr>
            <w:tcW w:w="101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604"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2D01</w:t>
            </w:r>
          </w:p>
        </w:tc>
        <w:tc>
          <w:tcPr>
            <w:tcW w:w="713"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污水处理区</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污水处理站西侧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zh-CN" w:eastAsia="zh-CN" w:bidi="zh-CN"/>
              </w:rPr>
            </w:pPr>
            <w:r>
              <w:rPr>
                <w:rFonts w:ascii="Times New Roman" w:hAnsi="Times New Roman" w:eastAsia="宋体"/>
                <w:sz w:val="21"/>
              </w:rPr>
              <w:t>同理论布点位置</w:t>
            </w:r>
          </w:p>
        </w:tc>
        <w:tc>
          <w:tcPr>
            <w:tcW w:w="1791"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sz w:val="21"/>
                <w:lang w:val="en-US" w:eastAsia="zh-CN"/>
              </w:rPr>
              <w:t>121° 2'25.62"东 32°32'3.27"北</w:t>
            </w:r>
          </w:p>
        </w:tc>
        <w:tc>
          <w:tcPr>
            <w:tcW w:w="14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hanging="20" w:firstLine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spacing w:val="-11"/>
                <w:sz w:val="21"/>
                <w:lang w:val="en-US" w:eastAsia="zh-CN"/>
              </w:rPr>
              <w:t>西侧为收集池，检测废液跑冒滴漏</w:t>
            </w:r>
            <w:r>
              <w:rPr>
                <w:rFonts w:ascii="Times New Roman" w:hAnsi="Times New Roman" w:eastAsia="宋体"/>
                <w:spacing w:val="-9"/>
                <w:sz w:val="21"/>
              </w:rPr>
              <w:t>，因此确认该</w:t>
            </w:r>
            <w:r>
              <w:rPr>
                <w:rFonts w:ascii="Times New Roman" w:hAnsi="Times New Roman" w:eastAsia="宋体"/>
                <w:sz w:val="21"/>
              </w:rPr>
              <w:t>点位</w:t>
            </w:r>
          </w:p>
        </w:tc>
        <w:tc>
          <w:tcPr>
            <w:tcW w:w="83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w w:val="95"/>
                <w:sz w:val="21"/>
                <w:lang w:val="en-US" w:eastAsia="zh-CN"/>
              </w:rPr>
              <w:t>硬化</w:t>
            </w:r>
          </w:p>
        </w:tc>
        <w:tc>
          <w:tcPr>
            <w:tcW w:w="9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ascii="Times New Roman" w:hAnsi="Times New Roman" w:eastAsia="宋体"/>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jc w:val="center"/>
        </w:trPr>
        <w:tc>
          <w:tcPr>
            <w:tcW w:w="1013" w:type="dxa"/>
            <w:vMerge w:val="continue"/>
            <w:tcBorders>
              <w:top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
                <w:szCs w:val="2"/>
              </w:rPr>
            </w:pPr>
          </w:p>
        </w:tc>
        <w:tc>
          <w:tcPr>
            <w:tcW w:w="604"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W01</w:t>
            </w:r>
          </w:p>
        </w:tc>
        <w:tc>
          <w:tcPr>
            <w:tcW w:w="713"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对照点</w:t>
            </w:r>
          </w:p>
        </w:tc>
        <w:tc>
          <w:tcPr>
            <w:tcW w:w="100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sz w:val="21"/>
                <w:lang w:val="en-US" w:eastAsia="zh-CN"/>
              </w:rPr>
              <w:t>附房南</w:t>
            </w:r>
            <w:r>
              <w:rPr>
                <w:rFonts w:hint="eastAsia" w:ascii="Times New Roman" w:hAnsi="Times New Roman" w:eastAsia="宋体"/>
                <w:sz w:val="21"/>
                <w:lang w:val="en-US" w:eastAsia="zh-CN"/>
              </w:rPr>
              <w:t>侧</w:t>
            </w:r>
          </w:p>
        </w:tc>
        <w:tc>
          <w:tcPr>
            <w:tcW w:w="1006"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ascii="Times New Roman" w:hAnsi="Times New Roman" w:eastAsia="宋体" w:cs="宋体"/>
                <w:kern w:val="2"/>
                <w:sz w:val="21"/>
                <w:szCs w:val="22"/>
                <w:lang w:val="zh-CN" w:eastAsia="zh-CN" w:bidi="zh-CN"/>
              </w:rPr>
            </w:pPr>
            <w:r>
              <w:rPr>
                <w:rFonts w:ascii="Times New Roman" w:hAnsi="Times New Roman" w:eastAsia="宋体"/>
                <w:sz w:val="21"/>
              </w:rPr>
              <w:t>同理论布点位置</w:t>
            </w:r>
          </w:p>
        </w:tc>
        <w:tc>
          <w:tcPr>
            <w:tcW w:w="1791"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sz w:val="21"/>
              </w:rPr>
              <w:t>121° 2'23.40"东  32°31'57.71"北</w:t>
            </w:r>
          </w:p>
        </w:tc>
        <w:tc>
          <w:tcPr>
            <w:tcW w:w="147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spacing w:val="-9"/>
                <w:sz w:val="21"/>
                <w:lang w:val="en-US" w:eastAsia="zh-CN"/>
              </w:rPr>
              <w:t>初步判断地下水流向自南向北</w:t>
            </w:r>
            <w:r>
              <w:rPr>
                <w:rFonts w:ascii="Times New Roman" w:hAnsi="Times New Roman" w:eastAsia="宋体"/>
                <w:spacing w:val="-9"/>
                <w:sz w:val="21"/>
              </w:rPr>
              <w:t>，因此确认该</w:t>
            </w:r>
            <w:r>
              <w:rPr>
                <w:rFonts w:ascii="Times New Roman" w:hAnsi="Times New Roman" w:eastAsia="宋体"/>
                <w:sz w:val="21"/>
              </w:rPr>
              <w:t>点位</w:t>
            </w:r>
          </w:p>
        </w:tc>
        <w:tc>
          <w:tcPr>
            <w:tcW w:w="832"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草地</w:t>
            </w:r>
          </w:p>
        </w:tc>
        <w:tc>
          <w:tcPr>
            <w:tcW w:w="990" w:type="dxa"/>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ascii="Times New Roman" w:hAnsi="Times New Roman" w:eastAsia="宋体"/>
                <w:w w:val="99"/>
                <w:sz w:val="21"/>
              </w:rPr>
              <w:t>无</w:t>
            </w:r>
          </w:p>
        </w:tc>
      </w:tr>
    </w:tbl>
    <w:p>
      <w:pPr>
        <w:spacing w:line="360" w:lineRule="auto"/>
        <w:jc w:val="both"/>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rPr>
          <w:rFonts w:hint="eastAsia" w:ascii="Times New Roman" w:hAnsi="Times New Roman" w:eastAsia="宋体" w:cs="Times New Roman"/>
          <w:b/>
          <w:bCs/>
          <w:sz w:val="24"/>
          <w:szCs w:val="24"/>
        </w:rPr>
      </w:pPr>
    </w:p>
    <w:p>
      <w:pPr>
        <w:pStyle w:val="2"/>
        <w:outlineLvl w:val="1"/>
        <w:rPr>
          <w:rFonts w:hint="eastAsia" w:ascii="Times New Roman" w:hAnsi="Times New Roman" w:eastAsia="宋体" w:cs="Times New Roman"/>
          <w:sz w:val="24"/>
          <w:szCs w:val="24"/>
          <w:lang w:val="en-US" w:eastAsia="zh-CN"/>
        </w:rPr>
      </w:pPr>
      <w:bookmarkStart w:id="38" w:name="_Toc27451"/>
      <w:r>
        <w:rPr>
          <w:rFonts w:hint="eastAsia" w:ascii="Times New Roman" w:hAnsi="Times New Roman" w:eastAsia="宋体" w:cs="Times New Roman"/>
          <w:sz w:val="28"/>
          <w:szCs w:val="28"/>
          <w:lang w:val="en-US" w:eastAsia="zh-CN"/>
        </w:rPr>
        <w:t>6.3各点位分析测试项目及选取原因</w:t>
      </w:r>
      <w:bookmarkEnd w:id="38"/>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监测</w:t>
      </w:r>
      <w:r>
        <w:rPr>
          <w:rFonts w:ascii="Times New Roman" w:hAnsi="Times New Roman" w:eastAsia="宋体" w:cs="Times New Roman"/>
          <w:sz w:val="24"/>
          <w:szCs w:val="24"/>
        </w:rPr>
        <w:t>样品的分析和测试工作委托具有中国计量</w:t>
      </w:r>
      <w:r>
        <w:rPr>
          <w:rFonts w:hint="eastAsia" w:ascii="Times New Roman" w:hAnsi="Times New Roman" w:eastAsia="宋体" w:cs="Times New Roman"/>
          <w:sz w:val="24"/>
          <w:szCs w:val="24"/>
        </w:rPr>
        <w:t>认证</w:t>
      </w:r>
      <w:r>
        <w:rPr>
          <w:rFonts w:ascii="Times New Roman" w:hAnsi="Times New Roman" w:eastAsia="宋体" w:cs="Times New Roman"/>
          <w:sz w:val="24"/>
          <w:szCs w:val="24"/>
        </w:rPr>
        <w:t>（</w:t>
      </w:r>
      <w:r>
        <w:rPr>
          <w:rFonts w:hint="eastAsia" w:ascii="Times New Roman" w:hAnsi="Times New Roman" w:eastAsia="宋体" w:cs="Times New Roman"/>
          <w:sz w:val="24"/>
          <w:szCs w:val="24"/>
        </w:rPr>
        <w:t>CMA</w:t>
      </w:r>
      <w:r>
        <w:rPr>
          <w:rFonts w:ascii="Times New Roman" w:hAnsi="Times New Roman" w:eastAsia="宋体" w:cs="Times New Roman"/>
          <w:sz w:val="24"/>
          <w:szCs w:val="24"/>
        </w:rPr>
        <w:t>）</w:t>
      </w:r>
      <w:r>
        <w:rPr>
          <w:rFonts w:hint="eastAsia" w:ascii="Times New Roman" w:hAnsi="Times New Roman" w:eastAsia="宋体" w:cs="Times New Roman"/>
          <w:sz w:val="24"/>
          <w:szCs w:val="24"/>
        </w:rPr>
        <w:t>资质</w:t>
      </w:r>
      <w:r>
        <w:rPr>
          <w:rFonts w:ascii="Times New Roman" w:hAnsi="Times New Roman" w:eastAsia="宋体" w:cs="Times New Roman"/>
          <w:sz w:val="24"/>
          <w:szCs w:val="24"/>
        </w:rPr>
        <w:t>的检测机构进行。土壤</w:t>
      </w:r>
      <w:r>
        <w:rPr>
          <w:rFonts w:hint="eastAsia" w:ascii="Times New Roman" w:hAnsi="Times New Roman" w:eastAsia="宋体" w:cs="Times New Roman"/>
          <w:sz w:val="24"/>
          <w:szCs w:val="24"/>
        </w:rPr>
        <w:t>样品</w:t>
      </w:r>
      <w:r>
        <w:rPr>
          <w:rFonts w:ascii="Times New Roman" w:hAnsi="Times New Roman" w:eastAsia="宋体" w:cs="Times New Roman"/>
          <w:sz w:val="24"/>
          <w:szCs w:val="24"/>
        </w:rPr>
        <w:t>测试项目参考《土壤环境质量 建设用地土壤污染风险管控标准（试行）》</w:t>
      </w:r>
      <w:r>
        <w:rPr>
          <w:rFonts w:hint="eastAsia" w:ascii="Times New Roman" w:hAnsi="Times New Roman" w:eastAsia="宋体" w:cs="Times New Roman"/>
          <w:sz w:val="24"/>
          <w:szCs w:val="24"/>
        </w:rPr>
        <w:t>（GB36600</w:t>
      </w:r>
      <w:r>
        <w:rPr>
          <w:rFonts w:ascii="Times New Roman" w:hAnsi="Times New Roman" w:eastAsia="宋体" w:cs="Times New Roman"/>
          <w:sz w:val="24"/>
          <w:szCs w:val="24"/>
        </w:rPr>
        <w:t>-2018</w:t>
      </w:r>
      <w:r>
        <w:rPr>
          <w:rFonts w:hint="eastAsia" w:ascii="Times New Roman" w:hAnsi="Times New Roman" w:eastAsia="宋体" w:cs="Times New Roman"/>
          <w:sz w:val="24"/>
          <w:szCs w:val="24"/>
        </w:rPr>
        <w:t>）；</w:t>
      </w:r>
      <w:r>
        <w:rPr>
          <w:rFonts w:ascii="Times New Roman" w:hAnsi="Times New Roman" w:eastAsia="宋体" w:cs="Times New Roman"/>
          <w:sz w:val="24"/>
          <w:szCs w:val="24"/>
        </w:rPr>
        <w:t>地下水样品测试项目参考《</w:t>
      </w:r>
      <w:r>
        <w:rPr>
          <w:rFonts w:hint="eastAsia" w:ascii="Times New Roman" w:hAnsi="Times New Roman" w:eastAsia="宋体" w:cs="Times New Roman"/>
          <w:sz w:val="24"/>
          <w:szCs w:val="24"/>
        </w:rPr>
        <w:t>地下水</w:t>
      </w:r>
      <w:r>
        <w:rPr>
          <w:rFonts w:ascii="Times New Roman" w:hAnsi="Times New Roman" w:eastAsia="宋体" w:cs="Times New Roman"/>
          <w:sz w:val="24"/>
          <w:szCs w:val="24"/>
        </w:rPr>
        <w:t>质量标准》</w:t>
      </w:r>
      <w:r>
        <w:rPr>
          <w:rFonts w:hint="eastAsia" w:ascii="Times New Roman" w:hAnsi="Times New Roman" w:eastAsia="宋体" w:cs="Times New Roman"/>
          <w:sz w:val="24"/>
          <w:szCs w:val="24"/>
        </w:rPr>
        <w:t>（G</w:t>
      </w:r>
      <w:r>
        <w:rPr>
          <w:rFonts w:ascii="Times New Roman" w:hAnsi="Times New Roman" w:eastAsia="宋体" w:cs="Times New Roman"/>
          <w:sz w:val="24"/>
          <w:szCs w:val="24"/>
        </w:rPr>
        <w:t>B/T14848-2017</w:t>
      </w:r>
      <w:r>
        <w:rPr>
          <w:rFonts w:hint="eastAsia" w:ascii="Times New Roman" w:hAnsi="Times New Roman" w:eastAsia="宋体" w:cs="Times New Roman"/>
          <w:sz w:val="24"/>
          <w:szCs w:val="24"/>
        </w:rPr>
        <w:t>）。</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通过与《土壤环境质量建设用地土壤污染风险管控标准（试行）》对比分析，土壤样品需检测“建设用地土壤污染风险筛选值和管制值（基本项目）”中45项指标及</w:t>
      </w:r>
      <w:r>
        <w:rPr>
          <w:rFonts w:hint="eastAsia" w:ascii="Times New Roman" w:hAnsi="Times New Roman" w:eastAsia="宋体" w:cs="Times New Roman"/>
          <w:sz w:val="24"/>
          <w:szCs w:val="24"/>
          <w:lang w:val="en-US" w:eastAsia="zh-CN"/>
        </w:rPr>
        <w:t>土壤pH</w:t>
      </w:r>
      <w:r>
        <w:rPr>
          <w:rFonts w:hint="eastAsia" w:ascii="Times New Roman" w:hAnsi="Times New Roman" w:eastAsia="宋体" w:cs="Times New Roman"/>
          <w:bCs/>
          <w:sz w:val="24"/>
          <w:szCs w:val="24"/>
          <w:vertAlign w:val="baseline"/>
          <w:lang w:val="en-US" w:eastAsia="zh-CN"/>
        </w:rPr>
        <w:t>、总石油烃（C</w:t>
      </w:r>
      <w:r>
        <w:rPr>
          <w:rFonts w:hint="eastAsia" w:ascii="Times New Roman" w:hAnsi="Times New Roman" w:eastAsia="宋体" w:cs="Times New Roman"/>
          <w:bCs/>
          <w:sz w:val="24"/>
          <w:szCs w:val="24"/>
          <w:vertAlign w:val="subscript"/>
          <w:lang w:val="en-US" w:eastAsia="zh-CN"/>
        </w:rPr>
        <w:t>10</w:t>
      </w:r>
      <w:r>
        <w:rPr>
          <w:rFonts w:hint="eastAsia" w:ascii="Times New Roman" w:hAnsi="Times New Roman" w:eastAsia="宋体" w:cs="Times New Roman"/>
          <w:bCs/>
          <w:sz w:val="24"/>
          <w:szCs w:val="24"/>
          <w:vertAlign w:val="baseline"/>
          <w:lang w:val="en-US" w:eastAsia="zh-CN"/>
        </w:rPr>
        <w:t>-C</w:t>
      </w:r>
      <w:r>
        <w:rPr>
          <w:rFonts w:hint="eastAsia" w:ascii="Times New Roman" w:hAnsi="Times New Roman" w:eastAsia="宋体" w:cs="Times New Roman"/>
          <w:bCs/>
          <w:sz w:val="24"/>
          <w:szCs w:val="24"/>
          <w:vertAlign w:val="subscript"/>
          <w:lang w:val="en-US" w:eastAsia="zh-CN"/>
        </w:rPr>
        <w:t>40</w:t>
      </w:r>
      <w:r>
        <w:rPr>
          <w:rFonts w:hint="eastAsia" w:ascii="Times New Roman" w:hAnsi="Times New Roman" w:eastAsia="宋体" w:cs="Times New Roman"/>
          <w:bCs/>
          <w:sz w:val="24"/>
          <w:szCs w:val="24"/>
          <w:vertAlign w:val="baseline"/>
          <w:lang w:val="en-US" w:eastAsia="zh-CN"/>
        </w:rPr>
        <w:t>）</w:t>
      </w:r>
      <w:r>
        <w:rPr>
          <w:rFonts w:hint="eastAsia" w:ascii="Times New Roman" w:hAnsi="Times New Roman" w:eastAsia="宋体" w:cs="Times New Roman"/>
          <w:sz w:val="24"/>
          <w:szCs w:val="24"/>
          <w:lang w:val="en-US" w:eastAsia="zh-CN"/>
        </w:rPr>
        <w:t>指标</w:t>
      </w:r>
      <w:r>
        <w:rPr>
          <w:rFonts w:ascii="Times New Roman" w:hAnsi="Times New Roman" w:eastAsia="宋体" w:cs="Times New Roman"/>
          <w:sz w:val="24"/>
          <w:szCs w:val="24"/>
        </w:rPr>
        <w:t>。</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通过与《地下水质量标准》对比分析，地下水样品需检测“地下水质量常规指标</w:t>
      </w:r>
      <w:r>
        <w:rPr>
          <w:rFonts w:hint="eastAsia" w:ascii="Times New Roman" w:hAnsi="Times New Roman" w:eastAsia="宋体" w:cs="Times New Roman"/>
          <w:sz w:val="24"/>
          <w:szCs w:val="24"/>
          <w:lang w:val="en-US" w:eastAsia="zh-CN"/>
        </w:rPr>
        <w:t>及</w:t>
      </w:r>
      <w:r>
        <w:rPr>
          <w:rFonts w:hint="eastAsia" w:ascii="Times New Roman" w:hAnsi="Times New Roman" w:eastAsia="宋体" w:cs="Times New Roman"/>
          <w:bCs/>
          <w:sz w:val="24"/>
          <w:szCs w:val="24"/>
          <w:vertAlign w:val="baseline"/>
          <w:lang w:val="en-US" w:eastAsia="zh-CN"/>
        </w:rPr>
        <w:t>氯苯、甲醛、甲醇、总石油烃（C</w:t>
      </w:r>
      <w:r>
        <w:rPr>
          <w:rFonts w:hint="eastAsia" w:ascii="Times New Roman" w:hAnsi="Times New Roman" w:eastAsia="宋体" w:cs="Times New Roman"/>
          <w:bCs/>
          <w:sz w:val="24"/>
          <w:szCs w:val="24"/>
          <w:vertAlign w:val="subscript"/>
          <w:lang w:val="en-US" w:eastAsia="zh-CN"/>
        </w:rPr>
        <w:t>10</w:t>
      </w:r>
      <w:r>
        <w:rPr>
          <w:rFonts w:hint="eastAsia" w:ascii="Times New Roman" w:hAnsi="Times New Roman" w:eastAsia="宋体" w:cs="Times New Roman"/>
          <w:bCs/>
          <w:sz w:val="24"/>
          <w:szCs w:val="24"/>
          <w:vertAlign w:val="baseline"/>
          <w:lang w:val="en-US" w:eastAsia="zh-CN"/>
        </w:rPr>
        <w:t>-C</w:t>
      </w:r>
      <w:r>
        <w:rPr>
          <w:rFonts w:hint="eastAsia" w:ascii="Times New Roman" w:hAnsi="Times New Roman" w:eastAsia="宋体" w:cs="Times New Roman"/>
          <w:bCs/>
          <w:sz w:val="24"/>
          <w:szCs w:val="24"/>
          <w:vertAlign w:val="subscript"/>
          <w:lang w:val="en-US" w:eastAsia="zh-CN"/>
        </w:rPr>
        <w:t>40</w:t>
      </w:r>
      <w:r>
        <w:rPr>
          <w:rFonts w:hint="eastAsia" w:ascii="Times New Roman" w:hAnsi="Times New Roman" w:eastAsia="宋体" w:cs="Times New Roman"/>
          <w:bCs/>
          <w:sz w:val="24"/>
          <w:szCs w:val="24"/>
          <w:vertAlign w:val="baseline"/>
          <w:lang w:val="en-US" w:eastAsia="zh-CN"/>
        </w:rPr>
        <w:t>）指标</w:t>
      </w:r>
      <w:r>
        <w:rPr>
          <w:rFonts w:hint="eastAsia" w:ascii="Times New Roman" w:hAnsi="Times New Roman" w:eastAsia="宋体" w:cs="Times New Roman"/>
          <w:sz w:val="24"/>
          <w:szCs w:val="24"/>
          <w:lang w:val="en-US" w:eastAsia="zh-CN"/>
        </w:rPr>
        <w:t>。</w:t>
      </w:r>
    </w:p>
    <w:p>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各点位分析测试项目及钻探深度见表</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.3-1</w:t>
      </w:r>
      <w:r>
        <w:rPr>
          <w:rFonts w:hint="eastAsia" w:ascii="Times New Roman" w:hAnsi="Times New Roman" w:eastAsia="宋体" w:cs="Times New Roman"/>
          <w:sz w:val="24"/>
          <w:szCs w:val="24"/>
          <w:lang w:eastAsia="zh-CN"/>
        </w:rPr>
        <w:t>。</w:t>
      </w:r>
    </w:p>
    <w:p>
      <w:pPr>
        <w:spacing w:line="360" w:lineRule="auto"/>
        <w:ind w:firstLine="482" w:firstLineChars="200"/>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表6.3-1 各点位分析测试项目及钻探深度</w:t>
      </w:r>
    </w:p>
    <w:tbl>
      <w:tblPr>
        <w:tblStyle w:val="20"/>
        <w:tblW w:w="855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6"/>
        <w:gridCol w:w="1050"/>
        <w:gridCol w:w="1170"/>
        <w:gridCol w:w="1065"/>
        <w:gridCol w:w="945"/>
        <w:gridCol w:w="1260"/>
        <w:gridCol w:w="238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编号</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布点</w:t>
            </w:r>
            <w:r>
              <w:rPr>
                <w:rFonts w:ascii="Times New Roman" w:hAnsi="Times New Roman" w:eastAsia="宋体"/>
                <w:sz w:val="21"/>
              </w:rPr>
              <w:t>区域</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ascii="Times New Roman" w:hAnsi="Times New Roman" w:eastAsia="宋体"/>
                <w:sz w:val="21"/>
              </w:rPr>
              <w:t>布点位置</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点位类型</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计划钻探深度（米）</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val="en-US" w:eastAsia="zh-CN"/>
              </w:rPr>
              <w:t>采样深度（米）</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sz w:val="21"/>
                <w:lang w:val="en-US" w:eastAsia="zh-CN"/>
              </w:rPr>
              <w:t>测试项目名称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cs="Times New Roman"/>
                <w:kern w:val="2"/>
                <w:sz w:val="21"/>
                <w:szCs w:val="21"/>
                <w:lang w:val="en-US" w:eastAsia="zh-CN" w:bidi="ar-SA"/>
              </w:rPr>
              <w:t>1A01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cs="宋体"/>
                <w:kern w:val="2"/>
                <w:sz w:val="24"/>
                <w:szCs w:val="24"/>
                <w:vertAlign w:val="baseline"/>
                <w:lang w:val="en-US" w:eastAsia="zh-CN" w:bidi="ar-SA"/>
              </w:rPr>
              <w:t>罐区及甲类库</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地下罐区</w:t>
            </w:r>
            <w:r>
              <w:rPr>
                <w:rFonts w:hint="eastAsia" w:ascii="Times New Roman" w:hAnsi="Times New Roman" w:cs="宋体"/>
                <w:kern w:val="2"/>
                <w:sz w:val="21"/>
                <w:szCs w:val="22"/>
                <w:lang w:val="en-US" w:eastAsia="zh-CN" w:bidi="zh-CN"/>
              </w:rPr>
              <w:t>北</w:t>
            </w:r>
            <w:r>
              <w:rPr>
                <w:rFonts w:hint="eastAsia" w:ascii="Times New Roman" w:hAnsi="Times New Roman" w:eastAsia="宋体" w:cs="宋体"/>
                <w:kern w:val="2"/>
                <w:sz w:val="21"/>
                <w:szCs w:val="22"/>
                <w:lang w:val="en-US" w:eastAsia="zh-CN" w:bidi="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hAnsi="Times New Roman" w:eastAsia="宋体"/>
                <w:sz w:val="21"/>
                <w:lang w:eastAsia="zh-CN"/>
              </w:rPr>
            </w:pPr>
            <w:r>
              <w:rPr>
                <w:rFonts w:hint="eastAsia" w:ascii="Times New Roman" w:hAnsi="Times New Roman" w:eastAsia="宋体"/>
                <w:sz w:val="21"/>
                <w:lang w:val="en-US" w:eastAsia="zh-CN"/>
              </w:rPr>
              <w:t>土壤</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sz w:val="21"/>
                <w:lang w:val="en-US" w:eastAsia="zh-CN"/>
              </w:rPr>
            </w:pPr>
            <w:r>
              <w:rPr>
                <w:rFonts w:hint="eastAsia" w:ascii="Times New Roman" w:hAnsi="Times New Roman" w:eastAsia="宋体"/>
                <w:spacing w:val="-11"/>
                <w:sz w:val="21"/>
                <w:lang w:val="en-US" w:eastAsia="zh-CN"/>
              </w:rPr>
              <w:t>3.0</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sz w:val="21"/>
                <w:highlight w:val="yellow"/>
                <w:lang w:val="en-US" w:eastAsia="zh-CN"/>
              </w:rPr>
            </w:pPr>
            <w:r>
              <w:rPr>
                <w:rFonts w:hint="eastAsia" w:ascii="Times New Roman" w:hAnsi="Times New Roman" w:eastAsia="宋体"/>
                <w:sz w:val="21"/>
                <w:highlight w:val="none"/>
                <w:lang w:val="en-US" w:eastAsia="zh-CN"/>
              </w:rPr>
              <w:t>0~0.5,0.5~1.5,1.5~3.0</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sz w:val="21"/>
                <w:lang w:val="en-US" w:eastAsia="zh-CN"/>
              </w:rPr>
            </w:pPr>
            <w:r>
              <w:rPr>
                <w:rFonts w:hint="eastAsia" w:ascii="Times New Roman" w:hAnsi="Times New Roman" w:eastAsia="宋体"/>
                <w:w w:val="95"/>
                <w:sz w:val="21"/>
                <w:lang w:val="en-US" w:eastAsia="zh-CN"/>
              </w:rPr>
              <w:t>GB36600表1的45项+pH值、总石油烃（C10-C40）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16"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cs="Times New Roman"/>
                <w:kern w:val="2"/>
                <w:sz w:val="21"/>
                <w:szCs w:val="21"/>
                <w:lang w:val="en-US" w:eastAsia="zh-CN" w:bidi="ar-SA"/>
              </w:rPr>
              <w:t>1B01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cs="宋体"/>
                <w:kern w:val="2"/>
                <w:sz w:val="24"/>
                <w:szCs w:val="24"/>
                <w:vertAlign w:val="baseline"/>
                <w:lang w:val="en-US" w:eastAsia="zh-CN" w:bidi="ar-SA"/>
              </w:rPr>
              <w:t>生产区</w:t>
            </w:r>
          </w:p>
        </w:tc>
        <w:tc>
          <w:tcPr>
            <w:tcW w:w="1170"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cs="宋体"/>
                <w:sz w:val="21"/>
                <w:szCs w:val="21"/>
                <w:lang w:val="en-US" w:eastAsia="zh-CN"/>
              </w:rPr>
              <w:t>氯化苄联产及频哪酮车间北侧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土壤</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3.0</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highlight w:val="yellow"/>
                <w:lang w:val="en-US" w:eastAsia="zh-CN" w:bidi="zh-CN"/>
              </w:rPr>
            </w:pPr>
            <w:r>
              <w:rPr>
                <w:rFonts w:hint="eastAsia" w:ascii="Times New Roman" w:hAnsi="Times New Roman" w:eastAsia="宋体"/>
                <w:sz w:val="21"/>
                <w:highlight w:val="none"/>
                <w:lang w:val="en-US" w:eastAsia="zh-CN"/>
              </w:rPr>
              <w:t>0~0.5,0.5~1.5,1.5~3.0</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GB36600表1的45项+pH值、总石油烃（C10-C40）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3"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cs="Times New Roman"/>
                <w:kern w:val="2"/>
                <w:sz w:val="21"/>
                <w:szCs w:val="21"/>
                <w:lang w:val="en-US" w:eastAsia="zh-CN" w:bidi="ar-SA"/>
              </w:rPr>
              <w:t>1B02</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生产区</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sz w:val="21"/>
                <w:szCs w:val="21"/>
                <w:lang w:val="en-US" w:eastAsia="zh-CN"/>
              </w:rPr>
              <w:t>一、二氯频哪酮车间</w:t>
            </w:r>
            <w:r>
              <w:rPr>
                <w:rFonts w:hint="eastAsia" w:ascii="Times New Roman" w:hAnsi="Times New Roman" w:cs="宋体"/>
                <w:sz w:val="21"/>
                <w:szCs w:val="21"/>
                <w:lang w:val="en-US" w:eastAsia="zh-CN"/>
              </w:rPr>
              <w:t>北</w:t>
            </w:r>
            <w:r>
              <w:rPr>
                <w:rFonts w:hint="eastAsia" w:ascii="Times New Roman" w:hAnsi="Times New Roman" w:eastAsia="宋体" w:cs="宋体"/>
                <w:sz w:val="21"/>
                <w:szCs w:val="21"/>
                <w:lang w:val="en-US" w:eastAsia="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土壤</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3.0</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highlight w:val="yellow"/>
                <w:lang w:val="en-US" w:eastAsia="zh-CN" w:bidi="zh-CN"/>
              </w:rPr>
            </w:pPr>
            <w:r>
              <w:rPr>
                <w:rFonts w:hint="eastAsia" w:ascii="Times New Roman" w:hAnsi="Times New Roman" w:eastAsia="宋体"/>
                <w:sz w:val="21"/>
                <w:highlight w:val="none"/>
                <w:lang w:val="en-US" w:eastAsia="zh-CN"/>
              </w:rPr>
              <w:t>0~0.5,0.5~1.5,1.5~3.0</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GB36600表1的45项+pH值、甲醛、甲醇、总石油烃（C10-C40）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1C01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仓库区</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cs="宋体"/>
                <w:kern w:val="2"/>
                <w:sz w:val="21"/>
                <w:szCs w:val="22"/>
                <w:lang w:val="en-US" w:eastAsia="zh-CN" w:bidi="zh-CN"/>
              </w:rPr>
              <w:t>盐酸罐区北</w:t>
            </w:r>
            <w:r>
              <w:rPr>
                <w:rFonts w:hint="eastAsia" w:ascii="Times New Roman" w:hAnsi="Times New Roman" w:eastAsia="宋体" w:cs="宋体"/>
                <w:kern w:val="2"/>
                <w:sz w:val="21"/>
                <w:szCs w:val="22"/>
                <w:lang w:val="en-US" w:eastAsia="zh-CN" w:bidi="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sz w:val="21"/>
                <w:lang w:val="en-US" w:eastAsia="zh-CN"/>
              </w:rPr>
              <w:t>土壤</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3.0</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highlight w:val="yellow"/>
                <w:lang w:val="en-US" w:eastAsia="zh-CN" w:bidi="zh-CN"/>
              </w:rPr>
            </w:pPr>
            <w:r>
              <w:rPr>
                <w:rFonts w:hint="eastAsia" w:ascii="Times New Roman" w:hAnsi="Times New Roman" w:eastAsia="宋体"/>
                <w:sz w:val="21"/>
                <w:highlight w:val="none"/>
                <w:lang w:val="en-US" w:eastAsia="zh-CN"/>
              </w:rPr>
              <w:t>0~0.5,0.5~1.5,1.5~3.0</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GB36600表1的45项+pH值、总石油烃（C10-C40）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1D01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污水处理区</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污水处理站西侧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土壤</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3.0</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highlight w:val="yellow"/>
                <w:lang w:val="en-US" w:eastAsia="zh-CN" w:bidi="zh-CN"/>
              </w:rPr>
            </w:pPr>
            <w:r>
              <w:rPr>
                <w:rFonts w:hint="eastAsia" w:ascii="Times New Roman" w:hAnsi="Times New Roman" w:eastAsia="宋体"/>
                <w:sz w:val="21"/>
                <w:highlight w:val="none"/>
                <w:lang w:val="en-US" w:eastAsia="zh-CN"/>
              </w:rPr>
              <w:t>0~0.5,0.5~1.5,1.5~3.0</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w w:val="95"/>
                <w:sz w:val="21"/>
                <w:lang w:val="en-US" w:eastAsia="zh-CN"/>
              </w:rPr>
              <w:t>GB36600表1的45项+pH值、总石油烃（C10-C40）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S01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对照点</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sz w:val="21"/>
                <w:lang w:val="en-US" w:eastAsia="zh-CN"/>
              </w:rPr>
              <w:t>附房南</w:t>
            </w:r>
            <w:r>
              <w:rPr>
                <w:rFonts w:hint="eastAsia" w:ascii="Times New Roman" w:hAnsi="Times New Roman" w:eastAsia="宋体"/>
                <w:sz w:val="21"/>
                <w:lang w:val="en-US" w:eastAsia="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宋体"/>
                <w:sz w:val="21"/>
              </w:rPr>
            </w:pPr>
            <w:r>
              <w:rPr>
                <w:rFonts w:hint="eastAsia" w:ascii="Times New Roman" w:hAnsi="Times New Roman" w:eastAsia="宋体"/>
                <w:sz w:val="21"/>
                <w:lang w:val="en-US" w:eastAsia="zh-CN"/>
              </w:rPr>
              <w:t>土壤</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3.0</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kern w:val="2"/>
                <w:sz w:val="21"/>
                <w:szCs w:val="22"/>
                <w:highlight w:val="yellow"/>
                <w:lang w:val="en-US" w:eastAsia="zh-CN" w:bidi="zh-CN"/>
              </w:rPr>
            </w:pPr>
            <w:r>
              <w:rPr>
                <w:rFonts w:hint="eastAsia" w:ascii="Times New Roman" w:hAnsi="Times New Roman" w:eastAsia="宋体"/>
                <w:sz w:val="21"/>
                <w:highlight w:val="none"/>
                <w:lang w:val="en-US" w:eastAsia="zh-CN"/>
              </w:rPr>
              <w:t>0~0.5,0.5~1.5,1.5~3.0</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GB36600表1的45项+pH值、总石油烃（C10-C40）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2A01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罐区及甲类库</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地下罐区</w:t>
            </w:r>
            <w:r>
              <w:rPr>
                <w:rFonts w:hint="eastAsia" w:ascii="Times New Roman" w:hAnsi="Times New Roman" w:cs="宋体"/>
                <w:kern w:val="2"/>
                <w:sz w:val="21"/>
                <w:szCs w:val="22"/>
                <w:lang w:val="en-US" w:eastAsia="zh-CN" w:bidi="zh-CN"/>
              </w:rPr>
              <w:t>北</w:t>
            </w:r>
            <w:r>
              <w:rPr>
                <w:rFonts w:hint="eastAsia" w:ascii="Times New Roman" w:hAnsi="Times New Roman" w:eastAsia="宋体" w:cs="宋体"/>
                <w:kern w:val="2"/>
                <w:sz w:val="21"/>
                <w:szCs w:val="22"/>
                <w:lang w:val="en-US" w:eastAsia="zh-CN" w:bidi="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地下水</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4.5</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宋体"/>
                <w:color w:val="auto"/>
                <w:kern w:val="2"/>
                <w:sz w:val="21"/>
                <w:szCs w:val="22"/>
                <w:highlight w:val="yellow"/>
                <w:lang w:val="en-US" w:eastAsia="zh-CN" w:bidi="zh-CN"/>
              </w:rPr>
            </w:pPr>
            <w:r>
              <w:rPr>
                <w:rFonts w:hint="eastAsia" w:ascii="Times New Roman" w:hAnsi="Times New Roman" w:eastAsia="宋体"/>
                <w:sz w:val="21"/>
                <w:highlight w:val="none"/>
                <w:lang w:val="en-US" w:eastAsia="zh-CN"/>
              </w:rPr>
              <w:t>/</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w w:val="95"/>
                <w:sz w:val="21"/>
                <w:lang w:val="en-US" w:eastAsia="zh-CN"/>
              </w:rPr>
              <w:t>GB/T14848表1中的37项+氯苯、甲醛、甲醇、总石油烃（C10-C40）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2B01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生产区</w:t>
            </w:r>
          </w:p>
        </w:tc>
        <w:tc>
          <w:tcPr>
            <w:tcW w:w="1170" w:type="dxa"/>
            <w:tcBorders>
              <w:tl2br w:val="nil"/>
              <w:tr2bl w:val="nil"/>
            </w:tcBorders>
            <w:noWrap w:val="0"/>
            <w:vAlign w:val="center"/>
          </w:tcPr>
          <w:p>
            <w:pPr>
              <w:keepNext w:val="0"/>
              <w:keepLines w:val="0"/>
              <w:widowControl/>
              <w:suppressLineNumbers w:val="0"/>
              <w:jc w:val="left"/>
              <w:rPr>
                <w:rFonts w:hint="eastAsia" w:ascii="Times New Roman" w:hAnsi="Times New Roman" w:eastAsia="宋体" w:cstheme="minorBidi"/>
                <w:kern w:val="2"/>
                <w:sz w:val="21"/>
                <w:szCs w:val="22"/>
                <w:lang w:val="en-US" w:eastAsia="zh-CN" w:bidi="ar-SA"/>
              </w:rPr>
            </w:pPr>
            <w:r>
              <w:rPr>
                <w:rFonts w:hint="eastAsia" w:ascii="Times New Roman" w:hAnsi="Times New Roman" w:eastAsia="宋体" w:cs="宋体"/>
                <w:sz w:val="21"/>
                <w:szCs w:val="21"/>
                <w:lang w:val="en-US" w:eastAsia="zh-CN"/>
              </w:rPr>
              <w:t>氯化苄联产及频哪酮车间北侧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地下水</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spacing w:val="-11"/>
                <w:sz w:val="21"/>
                <w:lang w:val="en-US" w:eastAsia="zh-CN"/>
              </w:rPr>
              <w:t>4.5</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ascii="Times New Roman" w:hAnsi="Times New Roman" w:eastAsia="宋体" w:cs="宋体"/>
                <w:color w:val="auto"/>
                <w:kern w:val="2"/>
                <w:sz w:val="21"/>
                <w:szCs w:val="22"/>
                <w:highlight w:val="yellow"/>
                <w:lang w:val="zh-CN" w:eastAsia="zh-CN" w:bidi="zh-CN"/>
              </w:rPr>
            </w:pPr>
            <w:r>
              <w:rPr>
                <w:rFonts w:hint="eastAsia" w:ascii="Times New Roman" w:hAnsi="Times New Roman" w:eastAsia="宋体"/>
                <w:sz w:val="21"/>
                <w:highlight w:val="none"/>
                <w:lang w:val="en-US" w:eastAsia="zh-CN"/>
              </w:rPr>
              <w:t>/</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w w:val="95"/>
                <w:sz w:val="21"/>
                <w:lang w:val="en-US" w:eastAsia="zh-CN"/>
              </w:rPr>
              <w:t>GB/T14848表1中的37项+氯苯、甲醛、甲醇、总石油烃（C10-C40）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2C01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宋体"/>
                <w:kern w:val="2"/>
                <w:sz w:val="24"/>
                <w:szCs w:val="24"/>
                <w:vertAlign w:val="baseline"/>
                <w:lang w:val="en-US" w:eastAsia="zh-CN" w:bidi="ar-SA"/>
              </w:rPr>
              <w:t>仓库区</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cs="宋体"/>
                <w:kern w:val="2"/>
                <w:sz w:val="21"/>
                <w:szCs w:val="22"/>
                <w:lang w:val="en-US" w:eastAsia="zh-CN" w:bidi="zh-CN"/>
              </w:rPr>
              <w:t>盐酸罐区北</w:t>
            </w:r>
            <w:r>
              <w:rPr>
                <w:rFonts w:hint="eastAsia" w:ascii="Times New Roman" w:hAnsi="Times New Roman" w:eastAsia="宋体" w:cs="宋体"/>
                <w:kern w:val="2"/>
                <w:sz w:val="21"/>
                <w:szCs w:val="22"/>
                <w:lang w:val="en-US" w:eastAsia="zh-CN" w:bidi="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地下水</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4.5</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ascii="Times New Roman" w:hAnsi="Times New Roman" w:eastAsia="宋体" w:cs="宋体"/>
                <w:color w:val="auto"/>
                <w:kern w:val="2"/>
                <w:sz w:val="21"/>
                <w:szCs w:val="22"/>
                <w:highlight w:val="yellow"/>
                <w:lang w:val="zh-CN" w:eastAsia="zh-CN" w:bidi="zh-CN"/>
              </w:rPr>
            </w:pPr>
            <w:r>
              <w:rPr>
                <w:rFonts w:hint="eastAsia" w:ascii="Times New Roman" w:hAnsi="Times New Roman" w:eastAsia="宋体"/>
                <w:sz w:val="21"/>
                <w:highlight w:val="none"/>
                <w:lang w:val="en-US" w:eastAsia="zh-CN"/>
              </w:rPr>
              <w:t>/</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GB/T14848表1中的37项+氯苯、甲醛、甲醇、总石油烃（C10-C40）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2D01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污水处理区</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污水处理站西侧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地下水</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hanging="20" w:firstLine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4.5</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ascii="Times New Roman" w:hAnsi="Times New Roman" w:eastAsia="宋体" w:cs="宋体"/>
                <w:color w:val="auto"/>
                <w:kern w:val="2"/>
                <w:sz w:val="21"/>
                <w:szCs w:val="22"/>
                <w:highlight w:val="yellow"/>
                <w:lang w:val="zh-CN" w:eastAsia="zh-CN" w:bidi="zh-CN"/>
              </w:rPr>
            </w:pPr>
            <w:r>
              <w:rPr>
                <w:rFonts w:hint="eastAsia" w:ascii="Times New Roman" w:hAnsi="Times New Roman" w:eastAsia="宋体"/>
                <w:sz w:val="21"/>
                <w:highlight w:val="none"/>
                <w:lang w:val="en-US" w:eastAsia="zh-CN"/>
              </w:rPr>
              <w:t>/</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GB/T14848表1中的37项+氯苯、甲醛、甲醇、总石油烃（C10-C40）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2" w:hRule="atLeast"/>
        </w:trPr>
        <w:tc>
          <w:tcPr>
            <w:tcW w:w="686"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W01</w:t>
            </w:r>
          </w:p>
        </w:tc>
        <w:tc>
          <w:tcPr>
            <w:tcW w:w="105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对照点</w:t>
            </w:r>
          </w:p>
        </w:tc>
        <w:tc>
          <w:tcPr>
            <w:tcW w:w="117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sz w:val="21"/>
                <w:lang w:val="en-US" w:eastAsia="zh-CN"/>
              </w:rPr>
              <w:t>附房南</w:t>
            </w:r>
            <w:r>
              <w:rPr>
                <w:rFonts w:hint="eastAsia" w:ascii="Times New Roman" w:hAnsi="Times New Roman" w:eastAsia="宋体"/>
                <w:sz w:val="21"/>
                <w:lang w:val="en-US" w:eastAsia="zh-CN"/>
              </w:rPr>
              <w:t>侧</w:t>
            </w:r>
          </w:p>
        </w:tc>
        <w:tc>
          <w:tcPr>
            <w:tcW w:w="106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地下水</w:t>
            </w:r>
          </w:p>
        </w:tc>
        <w:tc>
          <w:tcPr>
            <w:tcW w:w="945"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hanging="20" w:firstLine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宋体"/>
                <w:kern w:val="2"/>
                <w:sz w:val="21"/>
                <w:szCs w:val="22"/>
                <w:lang w:val="en-US" w:eastAsia="zh-CN" w:bidi="zh-CN"/>
              </w:rPr>
              <w:t>4.5</w:t>
            </w:r>
          </w:p>
        </w:tc>
        <w:tc>
          <w:tcPr>
            <w:tcW w:w="126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宋体"/>
                <w:color w:val="auto"/>
                <w:kern w:val="2"/>
                <w:sz w:val="21"/>
                <w:szCs w:val="22"/>
                <w:highlight w:val="yellow"/>
                <w:lang w:val="en-US" w:eastAsia="zh-CN" w:bidi="zh-CN"/>
              </w:rPr>
            </w:pPr>
            <w:r>
              <w:rPr>
                <w:rFonts w:hint="eastAsia" w:ascii="Times New Roman" w:hAnsi="Times New Roman" w:eastAsia="宋体"/>
                <w:sz w:val="21"/>
                <w:highlight w:val="none"/>
                <w:lang w:val="en-US" w:eastAsia="zh-CN"/>
              </w:rPr>
              <w:t>/</w:t>
            </w:r>
          </w:p>
        </w:tc>
        <w:tc>
          <w:tcPr>
            <w:tcW w:w="2380" w:type="dxa"/>
            <w:tcBorders>
              <w:tl2br w:val="nil"/>
              <w:tr2bl w:val="nil"/>
            </w:tcBorders>
            <w:noWrap w:val="0"/>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ascii="Times New Roman" w:hAnsi="Times New Roman" w:eastAsia="宋体" w:cs="宋体"/>
                <w:kern w:val="2"/>
                <w:sz w:val="21"/>
                <w:szCs w:val="22"/>
                <w:lang w:val="zh-CN" w:eastAsia="zh-CN" w:bidi="zh-CN"/>
              </w:rPr>
            </w:pPr>
            <w:r>
              <w:rPr>
                <w:rFonts w:hint="eastAsia" w:ascii="Times New Roman" w:hAnsi="Times New Roman" w:eastAsia="宋体"/>
                <w:w w:val="95"/>
                <w:sz w:val="21"/>
                <w:lang w:val="en-US" w:eastAsia="zh-CN"/>
              </w:rPr>
              <w:t>GB/T14848表1中的37项+氯苯、甲醛、甲醇、总石油烃（C10-C40）</w:t>
            </w:r>
          </w:p>
        </w:tc>
      </w:tr>
    </w:tbl>
    <w:p>
      <w:pPr>
        <w:spacing w:line="360" w:lineRule="auto"/>
        <w:jc w:val="both"/>
        <w:rPr>
          <w:rFonts w:hint="default" w:ascii="Times New Roman" w:hAnsi="Times New Roman" w:eastAsia="宋体" w:cs="宋体"/>
          <w:kern w:val="2"/>
          <w:sz w:val="21"/>
          <w:szCs w:val="22"/>
          <w:lang w:val="en-US" w:eastAsia="zh-CN" w:bidi="zh-CN"/>
        </w:rPr>
      </w:pPr>
    </w:p>
    <w:p>
      <w:pPr>
        <w:pStyle w:val="2"/>
        <w:rPr>
          <w:rFonts w:hint="default"/>
          <w:lang w:val="en-US" w:eastAsia="zh-CN"/>
        </w:rPr>
      </w:pPr>
    </w:p>
    <w:p>
      <w:pPr>
        <w:pStyle w:val="2"/>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before="0" w:after="20" w:line="360" w:lineRule="auto"/>
        <w:textAlignment w:val="auto"/>
        <w:outlineLvl w:val="0"/>
        <w:rPr>
          <w:rFonts w:hint="eastAsia" w:ascii="Times New Roman" w:hAnsi="Times New Roman" w:eastAsia="宋体" w:cs="Times New Roman"/>
          <w:sz w:val="28"/>
          <w:szCs w:val="28"/>
          <w:lang w:val="en-US" w:eastAsia="zh-CN"/>
        </w:rPr>
      </w:pPr>
      <w:bookmarkStart w:id="39" w:name="_Toc13463"/>
      <w:r>
        <w:rPr>
          <w:rFonts w:hint="eastAsia" w:ascii="Times New Roman" w:hAnsi="Times New Roman" w:eastAsia="宋体" w:cs="Times New Roman"/>
          <w:sz w:val="28"/>
          <w:szCs w:val="28"/>
          <w:lang w:val="en-US" w:eastAsia="zh-CN"/>
        </w:rPr>
        <w:t>7监测结果及分析</w:t>
      </w:r>
      <w:bookmarkEnd w:id="39"/>
    </w:p>
    <w:p>
      <w:pPr>
        <w:pStyle w:val="2"/>
        <w:outlineLvl w:val="1"/>
        <w:rPr>
          <w:rFonts w:hint="eastAsia" w:ascii="Times New Roman" w:hAnsi="Times New Roman" w:eastAsia="宋体" w:cs="Times New Roman"/>
          <w:sz w:val="24"/>
          <w:szCs w:val="24"/>
          <w:lang w:val="en-US" w:eastAsia="zh-CN"/>
        </w:rPr>
      </w:pPr>
      <w:bookmarkStart w:id="40" w:name="_Toc22583"/>
      <w:r>
        <w:rPr>
          <w:rFonts w:hint="eastAsia" w:ascii="Times New Roman" w:hAnsi="Times New Roman" w:eastAsia="宋体" w:cs="Times New Roman"/>
          <w:sz w:val="28"/>
          <w:szCs w:val="28"/>
          <w:lang w:val="en-US" w:eastAsia="zh-CN"/>
        </w:rPr>
        <w:t>7.1土壤监测结果</w:t>
      </w:r>
      <w:bookmarkEnd w:id="40"/>
    </w:p>
    <w:p>
      <w:pPr>
        <w:pStyle w:val="2"/>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rPr>
        <w:t>本次监测土壤的首选评价标准为《</w:t>
      </w:r>
      <w:r>
        <w:rPr>
          <w:rFonts w:hint="eastAsia" w:ascii="Times New Roman" w:hAnsi="Times New Roman" w:eastAsia="宋体" w:cs="Times New Roman"/>
          <w:sz w:val="24"/>
          <w:szCs w:val="24"/>
        </w:rPr>
        <w:t>土壤</w:t>
      </w:r>
      <w:r>
        <w:rPr>
          <w:rFonts w:ascii="Times New Roman" w:hAnsi="Times New Roman" w:eastAsia="宋体" w:cs="Times New Roman"/>
          <w:sz w:val="24"/>
          <w:szCs w:val="24"/>
        </w:rPr>
        <w:t>环境质量</w:t>
      </w:r>
      <w:r>
        <w:rPr>
          <w:rFonts w:hint="eastAsia" w:ascii="Times New Roman" w:hAnsi="Times New Roman" w:eastAsia="宋体" w:cs="Times New Roman"/>
          <w:sz w:val="24"/>
          <w:szCs w:val="24"/>
        </w:rPr>
        <w:t xml:space="preserve"> 建设</w:t>
      </w:r>
      <w:r>
        <w:rPr>
          <w:rFonts w:ascii="Times New Roman" w:hAnsi="Times New Roman" w:eastAsia="宋体" w:cs="Times New Roman"/>
          <w:sz w:val="24"/>
          <w:szCs w:val="24"/>
        </w:rPr>
        <w:t>用地土壤污染风险筛选值（</w:t>
      </w:r>
      <w:r>
        <w:rPr>
          <w:rFonts w:hint="eastAsia" w:ascii="Times New Roman" w:hAnsi="Times New Roman" w:eastAsia="宋体" w:cs="Times New Roman"/>
          <w:sz w:val="24"/>
          <w:szCs w:val="24"/>
        </w:rPr>
        <w:t>试行</w:t>
      </w:r>
      <w:r>
        <w:rPr>
          <w:rFonts w:ascii="Times New Roman" w:hAnsi="Times New Roman" w:eastAsia="宋体" w:cs="Times New Roman"/>
          <w:sz w:val="24"/>
          <w:szCs w:val="24"/>
        </w:rPr>
        <w:t>）》</w:t>
      </w:r>
      <w:r>
        <w:rPr>
          <w:rFonts w:hint="eastAsia" w:ascii="Times New Roman" w:hAnsi="Times New Roman" w:eastAsia="宋体" w:cs="Times New Roman"/>
          <w:sz w:val="24"/>
          <w:szCs w:val="24"/>
        </w:rPr>
        <w:t>第二类</w:t>
      </w:r>
      <w:r>
        <w:rPr>
          <w:rFonts w:ascii="Times New Roman" w:hAnsi="Times New Roman" w:eastAsia="宋体" w:cs="Times New Roman"/>
          <w:sz w:val="24"/>
          <w:szCs w:val="24"/>
        </w:rPr>
        <w:t>用地筛选值和管制值</w:t>
      </w:r>
      <w:r>
        <w:rPr>
          <w:rFonts w:hint="eastAsia" w:ascii="Times New Roman" w:hAnsi="Times New Roman" w:eastAsia="宋体" w:cs="Times New Roman"/>
          <w:sz w:val="24"/>
          <w:szCs w:val="24"/>
          <w:lang w:eastAsia="zh-CN"/>
        </w:rPr>
        <w:t>。</w:t>
      </w:r>
    </w:p>
    <w:p>
      <w:pPr>
        <w:pStyle w:val="2"/>
        <w:ind w:firstLine="482" w:firstLineChars="200"/>
        <w:jc w:val="center"/>
        <w:rPr>
          <w:rFonts w:hint="eastAsia" w:ascii="Times New Roman" w:hAnsi="Times New Roman" w:eastAsia="宋体" w:cs="宋体"/>
          <w:b/>
          <w:color w:val="000000"/>
          <w:kern w:val="0"/>
          <w:sz w:val="24"/>
          <w:szCs w:val="24"/>
          <w:lang w:val="en-US" w:eastAsia="zh-CN" w:bidi="ar"/>
        </w:rPr>
      </w:pPr>
      <w:r>
        <w:rPr>
          <w:rFonts w:hint="eastAsia" w:ascii="Times New Roman" w:hAnsi="Times New Roman" w:eastAsia="宋体" w:cs="宋体"/>
          <w:b/>
          <w:color w:val="000000"/>
          <w:kern w:val="0"/>
          <w:sz w:val="24"/>
          <w:szCs w:val="24"/>
          <w:lang w:val="en-US" w:eastAsia="zh-CN" w:bidi="ar"/>
        </w:rPr>
        <w:t>表 7.1-1 土壤监测结果表</w:t>
      </w:r>
    </w:p>
    <w:tbl>
      <w:tblPr>
        <w:tblStyle w:val="20"/>
        <w:tblW w:w="96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215"/>
        <w:gridCol w:w="817"/>
        <w:gridCol w:w="1638"/>
        <w:gridCol w:w="1695"/>
        <w:gridCol w:w="1692"/>
        <w:gridCol w:w="1506"/>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506" w:type="dxa"/>
            <w:vMerge w:val="restart"/>
            <w:tcBorders>
              <w:tl2br w:val="nil"/>
              <w:tr2bl w:val="nil"/>
            </w:tcBorders>
            <w:noWrap w:val="0"/>
            <w:vAlign w:val="center"/>
          </w:tcPr>
          <w:p>
            <w:pPr>
              <w:keepNext w:val="0"/>
              <w:keepLines w:val="0"/>
              <w:widowControl/>
              <w:suppressLineNumbers w:val="0"/>
              <w:jc w:val="center"/>
              <w:rPr>
                <w:rFonts w:ascii="Times New Roman" w:hAnsi="Times New Roman" w:eastAsia="宋体"/>
              </w:rPr>
            </w:pPr>
            <w:r>
              <w:rPr>
                <w:rFonts w:hint="default" w:ascii="Times New Roman" w:hAnsi="Times New Roman" w:eastAsia="宋体" w:cs="Times New Roman"/>
                <w:b/>
                <w:color w:val="000000"/>
                <w:kern w:val="0"/>
                <w:sz w:val="20"/>
                <w:szCs w:val="20"/>
                <w:lang w:val="en-US" w:eastAsia="zh-CN" w:bidi="ar"/>
              </w:rPr>
              <w:t>GB36600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b/>
                <w:color w:val="000000"/>
                <w:kern w:val="0"/>
                <w:sz w:val="20"/>
                <w:szCs w:val="20"/>
                <w:lang w:val="en-US" w:eastAsia="zh-CN" w:bidi="ar"/>
              </w:rPr>
              <w:t>第二类筛选值</w:t>
            </w:r>
          </w:p>
        </w:tc>
        <w:tc>
          <w:tcPr>
            <w:tcW w:w="11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是否达标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1146"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采样地点</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1A01</w:t>
            </w:r>
            <w:r>
              <w:rPr>
                <w:rFonts w:hint="eastAsia" w:ascii="Times New Roman" w:hAnsi="Times New Roman" w:eastAsia="宋体" w:cs="宋体"/>
                <w:kern w:val="2"/>
                <w:sz w:val="21"/>
                <w:szCs w:val="22"/>
                <w:lang w:val="en-US" w:eastAsia="zh-CN" w:bidi="zh-CN"/>
              </w:rPr>
              <w:t>地下罐区北侧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24.12</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4.25</w:t>
            </w:r>
            <w:r>
              <w:rPr>
                <w:rFonts w:hint="default" w:ascii="Times New Roman" w:hAnsi="Times New Roman" w:eastAsia="宋体" w:cs="Times New Roman"/>
                <w:sz w:val="21"/>
                <w:szCs w:val="21"/>
                <w:lang w:val="en-US" w:eastAsia="zh-CN"/>
              </w:rPr>
              <w:t>″）</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1A01</w:t>
            </w:r>
            <w:r>
              <w:rPr>
                <w:rFonts w:hint="eastAsia" w:ascii="Times New Roman" w:hAnsi="Times New Roman" w:eastAsia="宋体" w:cs="宋体"/>
                <w:kern w:val="2"/>
                <w:sz w:val="21"/>
                <w:szCs w:val="22"/>
                <w:lang w:val="en-US" w:eastAsia="zh-CN" w:bidi="zh-CN"/>
              </w:rPr>
              <w:t>地下罐区北侧</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24.12</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4.25</w:t>
            </w:r>
            <w:r>
              <w:rPr>
                <w:rFonts w:hint="default" w:ascii="Times New Roman" w:hAnsi="Times New Roman" w:eastAsia="宋体" w:cs="Times New Roman"/>
                <w:sz w:val="21"/>
                <w:szCs w:val="21"/>
                <w:lang w:val="en-US" w:eastAsia="zh-CN"/>
              </w:rPr>
              <w:t>″）</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1A01</w:t>
            </w:r>
            <w:r>
              <w:rPr>
                <w:rFonts w:hint="eastAsia" w:ascii="Times New Roman" w:hAnsi="Times New Roman" w:eastAsia="宋体" w:cs="宋体"/>
                <w:kern w:val="2"/>
                <w:sz w:val="21"/>
                <w:szCs w:val="22"/>
                <w:lang w:val="en-US" w:eastAsia="zh-CN" w:bidi="zh-CN"/>
              </w:rPr>
              <w:t>地下罐区北侧</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24.12</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4.25</w:t>
            </w:r>
            <w:r>
              <w:rPr>
                <w:rFonts w:hint="default" w:ascii="Times New Roman" w:hAnsi="Times New Roman" w:eastAsia="宋体" w:cs="Times New Roman"/>
                <w:sz w:val="21"/>
                <w:szCs w:val="21"/>
                <w:lang w:val="en-US" w:eastAsia="zh-CN"/>
              </w:rPr>
              <w:t>″）</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样品状态</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棕黄、粒状、砂土、大量砂砾、无其他异物</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棕黄、粒状、砂土、大量砂砾、无其他异物</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棕黄、粒状、砂土、大量砂砾、无其他异物</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0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pH值</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sz w:val="21"/>
                <w:szCs w:val="21"/>
                <w:lang w:val="en-US" w:eastAsia="zh-CN"/>
              </w:rPr>
              <w:t>无量纲</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8.26</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8.23</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8.41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5.51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5.25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汞</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0.048</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铅</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15.7</w:t>
            </w:r>
          </w:p>
        </w:tc>
        <w:tc>
          <w:tcPr>
            <w:tcW w:w="1695" w:type="dxa"/>
            <w:tcBorders>
              <w:left w:val="single" w:color="auto" w:sz="4" w:space="0"/>
              <w:tl2br w:val="nil"/>
              <w:tr2bl w:val="nil"/>
            </w:tcBorders>
            <w:noWrap w:val="0"/>
            <w:vAlign w:val="center"/>
          </w:tcPr>
          <w:p>
            <w:pPr>
              <w:pStyle w:val="2"/>
              <w:jc w:val="center"/>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cs="Times New Roman"/>
                <w:i w:val="0"/>
                <w:color w:val="000000"/>
                <w:spacing w:val="0"/>
                <w:kern w:val="0"/>
                <w:sz w:val="21"/>
                <w:szCs w:val="21"/>
                <w:u w:val="none"/>
                <w:lang w:val="en-US" w:eastAsia="zh-CN" w:bidi="ar"/>
              </w:rPr>
              <w:t>10.9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镍</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铜</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18000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sz w:val="21"/>
                <w:szCs w:val="21"/>
                <w:lang w:val="en-US" w:eastAsia="zh-CN"/>
              </w:rPr>
              <w:t>石油烃</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30.9</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37.7</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36.4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六价铬</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四氯化碳</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Cs w:val="21"/>
                <w:highlight w:val="none"/>
                <w:lang w:val="en-US" w:eastAsia="zh-CN"/>
              </w:rPr>
              <w:t>氯仿</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szCs w:val="21"/>
                <w:highlight w:val="none"/>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2.3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3.0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0.9</w:t>
            </w:r>
            <w:r>
              <w:rPr>
                <w:rFonts w:hint="eastAsia" w:ascii="Times New Roman" w:hAnsi="Times New Roman" w:eastAsia="宋体" w:cs="Times New Roman"/>
                <w:b w:val="0"/>
                <w:bCs/>
                <w:color w:val="000000"/>
                <w:szCs w:val="21"/>
                <w:highlight w:val="none"/>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9</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顺式-1,2二氯乙烯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596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反式-1,2-二氯乙烯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二氯甲烷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616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1,1,1,2-四氯乙烷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1,1,2,2-四氯乙烷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四氯乙烯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1,1,1-三氯乙烷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1,1,2-三氯乙烷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三氯乙烯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1,2,3-三氯丙烷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0.43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Cs w:val="21"/>
                <w:lang w:val="en-US" w:eastAsia="zh-CN"/>
              </w:rPr>
              <w:t>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1,4-二氯苯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乙苯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间,对-二甲苯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邻-二甲苯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半挥发性有机物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2-氯苯酚</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2256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硝基苯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䓛</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苯并[b]荧蒽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苯并[k]荧蒽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151</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茚并[1,2,3-cd]芘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二苯并[a,h]蒽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苯胺</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bl>
    <w:p>
      <w:pPr>
        <w:pStyle w:val="2"/>
        <w:ind w:firstLine="482" w:firstLineChars="200"/>
        <w:rPr>
          <w:rFonts w:hint="eastAsia" w:ascii="Times New Roman" w:hAnsi="Times New Roman" w:eastAsia="宋体" w:cs="宋体"/>
          <w:b/>
          <w:color w:val="000000"/>
          <w:kern w:val="0"/>
          <w:sz w:val="24"/>
          <w:szCs w:val="24"/>
          <w:lang w:val="en-US" w:eastAsia="zh-CN" w:bidi="ar"/>
        </w:rPr>
      </w:pPr>
    </w:p>
    <w:tbl>
      <w:tblPr>
        <w:tblStyle w:val="20"/>
        <w:tblW w:w="96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215"/>
        <w:gridCol w:w="817"/>
        <w:gridCol w:w="1638"/>
        <w:gridCol w:w="1695"/>
        <w:gridCol w:w="1692"/>
        <w:gridCol w:w="1506"/>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506" w:type="dxa"/>
            <w:vMerge w:val="restart"/>
            <w:tcBorders>
              <w:tl2br w:val="nil"/>
              <w:tr2bl w:val="nil"/>
            </w:tcBorders>
            <w:noWrap w:val="0"/>
            <w:vAlign w:val="center"/>
          </w:tcPr>
          <w:p>
            <w:pPr>
              <w:keepNext w:val="0"/>
              <w:keepLines w:val="0"/>
              <w:widowControl/>
              <w:suppressLineNumbers w:val="0"/>
              <w:jc w:val="center"/>
              <w:rPr>
                <w:rFonts w:ascii="Times New Roman" w:hAnsi="Times New Roman" w:eastAsia="宋体"/>
              </w:rPr>
            </w:pPr>
            <w:r>
              <w:rPr>
                <w:rFonts w:hint="default" w:ascii="Times New Roman" w:hAnsi="Times New Roman" w:eastAsia="宋体" w:cs="Times New Roman"/>
                <w:b/>
                <w:color w:val="000000"/>
                <w:kern w:val="0"/>
                <w:sz w:val="20"/>
                <w:szCs w:val="20"/>
                <w:lang w:val="en-US" w:eastAsia="zh-CN" w:bidi="ar"/>
              </w:rPr>
              <w:t>GB36600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b/>
                <w:color w:val="000000"/>
                <w:kern w:val="0"/>
                <w:sz w:val="20"/>
                <w:szCs w:val="20"/>
                <w:lang w:val="en-US" w:eastAsia="zh-CN" w:bidi="ar"/>
              </w:rPr>
              <w:t>第二类筛选值</w:t>
            </w:r>
          </w:p>
        </w:tc>
        <w:tc>
          <w:tcPr>
            <w:tcW w:w="11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是否达标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1146"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采样地点</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1B01氯化苄联产车间北侧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21.71</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2.44</w:t>
            </w:r>
            <w:r>
              <w:rPr>
                <w:rFonts w:hint="default" w:ascii="Times New Roman" w:hAnsi="Times New Roman" w:eastAsia="宋体" w:cs="Times New Roman"/>
                <w:sz w:val="21"/>
                <w:szCs w:val="21"/>
                <w:lang w:val="en-US" w:eastAsia="zh-CN"/>
              </w:rPr>
              <w:t>″）</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1B01氯化苄联产车间北侧</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21.71</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2.44</w:t>
            </w:r>
            <w:r>
              <w:rPr>
                <w:rFonts w:hint="default" w:ascii="Times New Roman" w:hAnsi="Times New Roman" w:eastAsia="宋体" w:cs="Times New Roman"/>
                <w:sz w:val="21"/>
                <w:szCs w:val="21"/>
                <w:lang w:val="en-US" w:eastAsia="zh-CN"/>
              </w:rPr>
              <w:t>″）</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1B01氯化苄联产车间北侧</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21.71</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2.44</w:t>
            </w:r>
            <w:r>
              <w:rPr>
                <w:rFonts w:hint="default" w:ascii="Times New Roman" w:hAnsi="Times New Roman" w:eastAsia="宋体" w:cs="Times New Roman"/>
                <w:sz w:val="21"/>
                <w:szCs w:val="21"/>
                <w:lang w:val="en-US" w:eastAsia="zh-CN"/>
              </w:rPr>
              <w:t>″）</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样品状态</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0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pH值</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sz w:val="21"/>
                <w:szCs w:val="21"/>
                <w:lang w:val="en-US" w:eastAsia="zh-CN"/>
              </w:rPr>
              <w:t>无量纲</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7.83</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7.85</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7.86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8.71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5.53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5.35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汞</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铅</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11.6</w:t>
            </w:r>
          </w:p>
        </w:tc>
        <w:tc>
          <w:tcPr>
            <w:tcW w:w="1695" w:type="dxa"/>
            <w:tcBorders>
              <w:left w:val="single" w:color="auto" w:sz="4" w:space="0"/>
              <w:tl2br w:val="nil"/>
              <w:tr2bl w:val="nil"/>
            </w:tcBorders>
            <w:noWrap w:val="0"/>
            <w:vAlign w:val="center"/>
          </w:tcPr>
          <w:p>
            <w:pPr>
              <w:pStyle w:val="2"/>
              <w:jc w:val="center"/>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镍</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铜</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18000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sz w:val="21"/>
                <w:szCs w:val="21"/>
                <w:lang w:val="en-US" w:eastAsia="zh-CN"/>
              </w:rPr>
              <w:t>石油烃</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16.9</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16.9</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17.6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六价铬</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四氯化碳</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Cs w:val="21"/>
                <w:highlight w:val="none"/>
                <w:lang w:val="en-US" w:eastAsia="zh-CN"/>
              </w:rPr>
              <w:t>氯仿</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szCs w:val="21"/>
                <w:highlight w:val="none"/>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4.4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7.6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3.2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0.9</w:t>
            </w:r>
            <w:r>
              <w:rPr>
                <w:rFonts w:hint="eastAsia" w:ascii="Times New Roman" w:hAnsi="Times New Roman" w:eastAsia="宋体" w:cs="Times New Roman"/>
                <w:b w:val="0"/>
                <w:bCs/>
                <w:color w:val="000000"/>
                <w:szCs w:val="21"/>
                <w:highlight w:val="none"/>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9</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顺式-1,2二氯乙烯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596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反式-1,2-二氯乙烯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二氯甲烷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12.7</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616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1,1,1,2-四氯乙烷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1,1,2,2-四氯乙烷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四氯乙烯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1,1,1-三氯乙烷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1,1,2-三氯乙烷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三氯乙烯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1,2,3-三氯丙烷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0.43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Cs w:val="21"/>
                <w:lang w:val="en-US" w:eastAsia="zh-CN"/>
              </w:rPr>
              <w:t>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1,4-二氯苯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乙苯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间,对-二甲苯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邻-二甲苯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半挥发性有机物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2-氯苯酚</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2256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硝基苯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䓛</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苯并[b]荧蒽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苯并[k]荧蒽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151</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茚并[1,2,3-cd]芘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二苯并[a,h]蒽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苯胺</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bl>
    <w:p>
      <w:pPr>
        <w:pStyle w:val="2"/>
        <w:ind w:firstLine="482" w:firstLineChars="200"/>
        <w:rPr>
          <w:rFonts w:hint="eastAsia" w:ascii="Times New Roman" w:hAnsi="Times New Roman" w:eastAsia="宋体" w:cs="宋体"/>
          <w:b/>
          <w:color w:val="000000"/>
          <w:kern w:val="0"/>
          <w:sz w:val="24"/>
          <w:szCs w:val="24"/>
          <w:lang w:val="en-US" w:eastAsia="zh-CN" w:bidi="ar"/>
        </w:rPr>
      </w:pPr>
    </w:p>
    <w:tbl>
      <w:tblPr>
        <w:tblStyle w:val="20"/>
        <w:tblW w:w="96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215"/>
        <w:gridCol w:w="817"/>
        <w:gridCol w:w="1638"/>
        <w:gridCol w:w="1695"/>
        <w:gridCol w:w="1692"/>
        <w:gridCol w:w="1506"/>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506" w:type="dxa"/>
            <w:vMerge w:val="restart"/>
            <w:tcBorders>
              <w:tl2br w:val="nil"/>
              <w:tr2bl w:val="nil"/>
            </w:tcBorders>
            <w:noWrap w:val="0"/>
            <w:vAlign w:val="center"/>
          </w:tcPr>
          <w:p>
            <w:pPr>
              <w:keepNext w:val="0"/>
              <w:keepLines w:val="0"/>
              <w:widowControl/>
              <w:suppressLineNumbers w:val="0"/>
              <w:jc w:val="center"/>
              <w:rPr>
                <w:rFonts w:ascii="Times New Roman" w:hAnsi="Times New Roman" w:eastAsia="宋体"/>
              </w:rPr>
            </w:pPr>
            <w:r>
              <w:rPr>
                <w:rFonts w:hint="default" w:ascii="Times New Roman" w:hAnsi="Times New Roman" w:eastAsia="宋体" w:cs="Times New Roman"/>
                <w:b/>
                <w:color w:val="000000"/>
                <w:kern w:val="0"/>
                <w:sz w:val="20"/>
                <w:szCs w:val="20"/>
                <w:lang w:val="en-US" w:eastAsia="zh-CN" w:bidi="ar"/>
              </w:rPr>
              <w:t>GB36600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b/>
                <w:color w:val="000000"/>
                <w:kern w:val="0"/>
                <w:sz w:val="20"/>
                <w:szCs w:val="20"/>
                <w:lang w:val="en-US" w:eastAsia="zh-CN" w:bidi="ar"/>
              </w:rPr>
              <w:t>第二类筛选值</w:t>
            </w:r>
          </w:p>
        </w:tc>
        <w:tc>
          <w:tcPr>
            <w:tcW w:w="11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是否达标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1146"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采样地点</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1B02一、二氯频哪酮车间北侧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20.91</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0.81</w:t>
            </w:r>
            <w:r>
              <w:rPr>
                <w:rFonts w:hint="default" w:ascii="Times New Roman" w:hAnsi="Times New Roman" w:eastAsia="宋体" w:cs="Times New Roman"/>
                <w:sz w:val="21"/>
                <w:szCs w:val="21"/>
                <w:lang w:val="en-US" w:eastAsia="zh-CN"/>
              </w:rPr>
              <w:t>″）</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1B02一、二氯频哪酮车间北侧</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20.91</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0.81</w:t>
            </w:r>
            <w:r>
              <w:rPr>
                <w:rFonts w:hint="default" w:ascii="Times New Roman" w:hAnsi="Times New Roman" w:eastAsia="宋体" w:cs="Times New Roman"/>
                <w:sz w:val="21"/>
                <w:szCs w:val="21"/>
                <w:lang w:val="en-US" w:eastAsia="zh-CN"/>
              </w:rPr>
              <w:t>″）</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1B02一、二氯频哪酮车间北侧</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20.91</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0.81</w:t>
            </w:r>
            <w:r>
              <w:rPr>
                <w:rFonts w:hint="default" w:ascii="Times New Roman" w:hAnsi="Times New Roman" w:eastAsia="宋体" w:cs="Times New Roman"/>
                <w:sz w:val="21"/>
                <w:szCs w:val="21"/>
                <w:lang w:val="en-US" w:eastAsia="zh-CN"/>
              </w:rPr>
              <w:t>″）</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样品状态</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0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pH值</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sz w:val="21"/>
                <w:szCs w:val="21"/>
                <w:lang w:val="en-US" w:eastAsia="zh-CN"/>
              </w:rPr>
              <w:t>无量纲</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8.42</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8.40</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8.45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8.18</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6.61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6.87</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汞</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铅</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16.0</w:t>
            </w:r>
          </w:p>
        </w:tc>
        <w:tc>
          <w:tcPr>
            <w:tcW w:w="1695" w:type="dxa"/>
            <w:tcBorders>
              <w:left w:val="single" w:color="auto" w:sz="4" w:space="0"/>
              <w:tl2br w:val="nil"/>
              <w:tr2bl w:val="nil"/>
            </w:tcBorders>
            <w:noWrap w:val="0"/>
            <w:vAlign w:val="center"/>
          </w:tcPr>
          <w:p>
            <w:pPr>
              <w:pStyle w:val="2"/>
              <w:jc w:val="center"/>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镍</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铜</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18000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sz w:val="21"/>
                <w:szCs w:val="21"/>
                <w:lang w:val="en-US" w:eastAsia="zh-CN"/>
              </w:rPr>
              <w:t>石油烃</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42.2</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43.4</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46.5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六价铬</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四氯化碳</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Cs w:val="21"/>
                <w:highlight w:val="none"/>
                <w:lang w:val="en-US" w:eastAsia="zh-CN"/>
              </w:rPr>
              <w:t>氯仿</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szCs w:val="21"/>
                <w:highlight w:val="none"/>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3.1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3.9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0.9</w:t>
            </w:r>
            <w:r>
              <w:rPr>
                <w:rFonts w:hint="eastAsia" w:ascii="Times New Roman" w:hAnsi="Times New Roman" w:eastAsia="宋体" w:cs="Times New Roman"/>
                <w:b w:val="0"/>
                <w:bCs/>
                <w:color w:val="000000"/>
                <w:szCs w:val="21"/>
                <w:highlight w:val="none"/>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9</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顺式-1,2二氯乙烯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596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反式-1,2-二氯乙烯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二氯甲烷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14.7</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616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1,1,1,2-四氯乙烷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1,1,2,2-四氯乙烷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四氯乙烯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1,1,1-三氯乙烷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1,1,2-三氯乙烷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三氯乙烯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1,2,3-三氯丙烷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0.43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Cs w:val="21"/>
                <w:lang w:val="en-US" w:eastAsia="zh-CN"/>
              </w:rPr>
              <w:t>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1,4-二氯苯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乙苯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间,对-二甲苯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邻-二甲苯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半挥发性有机物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2-氯苯酚</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2256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硝基苯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䓛</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苯并[b]荧蒽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苯并[k]荧蒽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151</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茚并[1,2,3-cd]芘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二苯并[a,h]蒽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苯胺</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bl>
    <w:p>
      <w:pPr>
        <w:pStyle w:val="2"/>
        <w:ind w:firstLine="482" w:firstLineChars="200"/>
        <w:rPr>
          <w:rFonts w:hint="eastAsia" w:ascii="Times New Roman" w:hAnsi="Times New Roman" w:eastAsia="宋体" w:cs="宋体"/>
          <w:b/>
          <w:color w:val="000000"/>
          <w:kern w:val="0"/>
          <w:sz w:val="24"/>
          <w:szCs w:val="24"/>
          <w:lang w:val="en-US" w:eastAsia="zh-CN" w:bidi="ar"/>
        </w:rPr>
      </w:pPr>
    </w:p>
    <w:tbl>
      <w:tblPr>
        <w:tblStyle w:val="20"/>
        <w:tblW w:w="96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215"/>
        <w:gridCol w:w="817"/>
        <w:gridCol w:w="1638"/>
        <w:gridCol w:w="1695"/>
        <w:gridCol w:w="1692"/>
        <w:gridCol w:w="1506"/>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506" w:type="dxa"/>
            <w:vMerge w:val="restart"/>
            <w:tcBorders>
              <w:tl2br w:val="nil"/>
              <w:tr2bl w:val="nil"/>
            </w:tcBorders>
            <w:noWrap w:val="0"/>
            <w:vAlign w:val="center"/>
          </w:tcPr>
          <w:p>
            <w:pPr>
              <w:keepNext w:val="0"/>
              <w:keepLines w:val="0"/>
              <w:widowControl/>
              <w:suppressLineNumbers w:val="0"/>
              <w:jc w:val="center"/>
              <w:rPr>
                <w:rFonts w:ascii="Times New Roman" w:hAnsi="Times New Roman" w:eastAsia="宋体"/>
              </w:rPr>
            </w:pPr>
            <w:r>
              <w:rPr>
                <w:rFonts w:hint="default" w:ascii="Times New Roman" w:hAnsi="Times New Roman" w:eastAsia="宋体" w:cs="Times New Roman"/>
                <w:b/>
                <w:color w:val="000000"/>
                <w:kern w:val="0"/>
                <w:sz w:val="20"/>
                <w:szCs w:val="20"/>
                <w:lang w:val="en-US" w:eastAsia="zh-CN" w:bidi="ar"/>
              </w:rPr>
              <w:t>GB36600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b/>
                <w:color w:val="000000"/>
                <w:kern w:val="0"/>
                <w:sz w:val="20"/>
                <w:szCs w:val="20"/>
                <w:lang w:val="en-US" w:eastAsia="zh-CN" w:bidi="ar"/>
              </w:rPr>
              <w:t>第二类筛选值</w:t>
            </w:r>
          </w:p>
        </w:tc>
        <w:tc>
          <w:tcPr>
            <w:tcW w:w="11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是否达标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1146"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采样地点</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1C01盐酸罐区北侧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20.38</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59.17</w:t>
            </w:r>
            <w:r>
              <w:rPr>
                <w:rFonts w:hint="default" w:ascii="Times New Roman" w:hAnsi="Times New Roman" w:eastAsia="宋体" w:cs="Times New Roman"/>
                <w:sz w:val="21"/>
                <w:szCs w:val="21"/>
                <w:lang w:val="en-US" w:eastAsia="zh-CN"/>
              </w:rPr>
              <w:t>″）</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1C01盐酸罐区北侧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20.38</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59.17</w:t>
            </w:r>
            <w:r>
              <w:rPr>
                <w:rFonts w:hint="default" w:ascii="Times New Roman" w:hAnsi="Times New Roman" w:eastAsia="宋体" w:cs="Times New Roman"/>
                <w:sz w:val="21"/>
                <w:szCs w:val="21"/>
                <w:lang w:val="en-US" w:eastAsia="zh-CN"/>
              </w:rPr>
              <w:t>″）</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1C01盐酸罐区北侧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20.38</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59.17</w:t>
            </w:r>
            <w:r>
              <w:rPr>
                <w:rFonts w:hint="default" w:ascii="Times New Roman" w:hAnsi="Times New Roman" w:eastAsia="宋体" w:cs="Times New Roman"/>
                <w:sz w:val="21"/>
                <w:szCs w:val="21"/>
                <w:lang w:val="en-US" w:eastAsia="zh-CN"/>
              </w:rPr>
              <w:t>″）</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样品状态</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0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pH值</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sz w:val="21"/>
                <w:szCs w:val="21"/>
                <w:lang w:val="en-US" w:eastAsia="zh-CN"/>
              </w:rPr>
              <w:t>无量纲</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7.96</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7.95</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7.98</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7.35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6.68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2.78</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汞</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0.07</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0.07</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铅</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11.2</w:t>
            </w:r>
          </w:p>
        </w:tc>
        <w:tc>
          <w:tcPr>
            <w:tcW w:w="1695" w:type="dxa"/>
            <w:tcBorders>
              <w:left w:val="single" w:color="auto" w:sz="4" w:space="0"/>
              <w:tl2br w:val="nil"/>
              <w:tr2bl w:val="nil"/>
            </w:tcBorders>
            <w:noWrap w:val="0"/>
            <w:vAlign w:val="center"/>
          </w:tcPr>
          <w:p>
            <w:pPr>
              <w:pStyle w:val="2"/>
              <w:jc w:val="center"/>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9.0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镍</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铜</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18000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sz w:val="21"/>
                <w:szCs w:val="21"/>
                <w:lang w:val="en-US" w:eastAsia="zh-CN"/>
              </w:rPr>
              <w:t>石油烃</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23.8</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24.7</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25.0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六价铬</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四氯化碳</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Cs w:val="21"/>
                <w:highlight w:val="none"/>
                <w:lang w:val="en-US" w:eastAsia="zh-CN"/>
              </w:rPr>
              <w:t>氯仿</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szCs w:val="21"/>
                <w:highlight w:val="none"/>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4.2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3.0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3.2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0.9</w:t>
            </w:r>
            <w:r>
              <w:rPr>
                <w:rFonts w:hint="eastAsia" w:ascii="Times New Roman" w:hAnsi="Times New Roman" w:eastAsia="宋体" w:cs="Times New Roman"/>
                <w:b w:val="0"/>
                <w:bCs/>
                <w:color w:val="000000"/>
                <w:szCs w:val="21"/>
                <w:highlight w:val="none"/>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9</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顺式-1,2二氯乙烯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596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反式-1,2-二氯乙烯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二氯甲烷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616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1,1,1,2-四氯乙烷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1,1,2,2-四氯乙烷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四氯乙烯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1,1,1-三氯乙烷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1,1,2-三氯乙烷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三氯乙烯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1,2,3-三氯丙烷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0.43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Cs w:val="21"/>
                <w:lang w:val="en-US" w:eastAsia="zh-CN"/>
              </w:rPr>
              <w:t>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1,4-二氯苯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乙苯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间,对-二甲苯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邻-二甲苯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半挥发性有机物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2-氯苯酚</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2256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硝基苯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䓛</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苯并[b]荧蒽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苯并[k]荧蒽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151</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茚并[1,2,3-cd]芘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二苯并[a,h]蒽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苯胺</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bl>
    <w:p>
      <w:pPr>
        <w:pStyle w:val="2"/>
        <w:ind w:firstLine="482" w:firstLineChars="200"/>
        <w:rPr>
          <w:rFonts w:hint="eastAsia" w:ascii="Times New Roman" w:hAnsi="Times New Roman" w:eastAsia="宋体" w:cs="宋体"/>
          <w:b/>
          <w:color w:val="000000"/>
          <w:kern w:val="0"/>
          <w:sz w:val="24"/>
          <w:szCs w:val="24"/>
          <w:lang w:val="en-US" w:eastAsia="zh-CN" w:bidi="ar"/>
        </w:rPr>
      </w:pPr>
    </w:p>
    <w:tbl>
      <w:tblPr>
        <w:tblStyle w:val="20"/>
        <w:tblW w:w="96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215"/>
        <w:gridCol w:w="817"/>
        <w:gridCol w:w="1638"/>
        <w:gridCol w:w="1695"/>
        <w:gridCol w:w="1692"/>
        <w:gridCol w:w="1506"/>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506" w:type="dxa"/>
            <w:vMerge w:val="restart"/>
            <w:tcBorders>
              <w:tl2br w:val="nil"/>
              <w:tr2bl w:val="nil"/>
            </w:tcBorders>
            <w:noWrap w:val="0"/>
            <w:vAlign w:val="center"/>
          </w:tcPr>
          <w:p>
            <w:pPr>
              <w:keepNext w:val="0"/>
              <w:keepLines w:val="0"/>
              <w:widowControl/>
              <w:suppressLineNumbers w:val="0"/>
              <w:jc w:val="center"/>
              <w:rPr>
                <w:rFonts w:ascii="Times New Roman" w:hAnsi="Times New Roman" w:eastAsia="宋体"/>
              </w:rPr>
            </w:pPr>
            <w:r>
              <w:rPr>
                <w:rFonts w:hint="default" w:ascii="Times New Roman" w:hAnsi="Times New Roman" w:eastAsia="宋体" w:cs="Times New Roman"/>
                <w:b/>
                <w:color w:val="000000"/>
                <w:kern w:val="0"/>
                <w:sz w:val="20"/>
                <w:szCs w:val="20"/>
                <w:lang w:val="en-US" w:eastAsia="zh-CN" w:bidi="ar"/>
              </w:rPr>
              <w:t>GB36600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b/>
                <w:color w:val="000000"/>
                <w:kern w:val="0"/>
                <w:sz w:val="20"/>
                <w:szCs w:val="20"/>
                <w:lang w:val="en-US" w:eastAsia="zh-CN" w:bidi="ar"/>
              </w:rPr>
              <w:t>第二类筛选值</w:t>
            </w:r>
          </w:p>
        </w:tc>
        <w:tc>
          <w:tcPr>
            <w:tcW w:w="11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是否达标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1146"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采样地点</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1D01收集池西侧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25.62</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3.27</w:t>
            </w:r>
            <w:r>
              <w:rPr>
                <w:rFonts w:hint="default" w:ascii="Times New Roman" w:hAnsi="Times New Roman" w:eastAsia="宋体" w:cs="Times New Roman"/>
                <w:sz w:val="21"/>
                <w:szCs w:val="21"/>
                <w:lang w:val="en-US" w:eastAsia="zh-CN"/>
              </w:rPr>
              <w:t>″）</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1D01收集池西侧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25.62</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3.27</w:t>
            </w:r>
            <w:r>
              <w:rPr>
                <w:rFonts w:hint="default" w:ascii="Times New Roman" w:hAnsi="Times New Roman" w:eastAsia="宋体" w:cs="Times New Roman"/>
                <w:sz w:val="21"/>
                <w:szCs w:val="21"/>
                <w:lang w:val="en-US" w:eastAsia="zh-CN"/>
              </w:rPr>
              <w:t>″）</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1D01收集池西侧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25.62</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3.27</w:t>
            </w:r>
            <w:r>
              <w:rPr>
                <w:rFonts w:hint="default" w:ascii="Times New Roman" w:hAnsi="Times New Roman" w:eastAsia="宋体" w:cs="Times New Roman"/>
                <w:sz w:val="21"/>
                <w:szCs w:val="21"/>
                <w:lang w:val="en-US" w:eastAsia="zh-CN"/>
              </w:rPr>
              <w:t>″）</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样品状态</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0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pH值</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sz w:val="21"/>
                <w:szCs w:val="21"/>
                <w:lang w:val="en-US" w:eastAsia="zh-CN"/>
              </w:rPr>
              <w:t>无量纲</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8.03</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8.06</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8.01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7.74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4.96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6.38</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汞</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0.028</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0.34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铅</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22.4</w:t>
            </w:r>
          </w:p>
        </w:tc>
        <w:tc>
          <w:tcPr>
            <w:tcW w:w="1695" w:type="dxa"/>
            <w:tcBorders>
              <w:left w:val="single" w:color="auto" w:sz="4" w:space="0"/>
              <w:tl2br w:val="nil"/>
              <w:tr2bl w:val="nil"/>
            </w:tcBorders>
            <w:noWrap w:val="0"/>
            <w:vAlign w:val="center"/>
          </w:tcPr>
          <w:p>
            <w:pPr>
              <w:pStyle w:val="2"/>
              <w:jc w:val="center"/>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12.4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11.7</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镍</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铜</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18000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sz w:val="21"/>
                <w:szCs w:val="21"/>
                <w:lang w:val="en-US" w:eastAsia="zh-CN"/>
              </w:rPr>
              <w:t>石油烃</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141</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158</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160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六价铬</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四氯化碳</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Cs w:val="21"/>
                <w:highlight w:val="none"/>
                <w:lang w:val="en-US" w:eastAsia="zh-CN"/>
              </w:rPr>
              <w:t>氯仿</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szCs w:val="21"/>
                <w:highlight w:val="none"/>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yellow"/>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yellow"/>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yellow"/>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0.9</w:t>
            </w:r>
            <w:r>
              <w:rPr>
                <w:rFonts w:hint="eastAsia" w:ascii="Times New Roman" w:hAnsi="Times New Roman" w:eastAsia="宋体" w:cs="Times New Roman"/>
                <w:b w:val="0"/>
                <w:bCs/>
                <w:color w:val="000000"/>
                <w:szCs w:val="21"/>
                <w:highlight w:val="none"/>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9</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顺式-1,2二氯乙烯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596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反式-1,2-二氯乙烯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二氯甲烷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7.8</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4.7</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5.7</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616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1,1,1,2-四氯乙烷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1,1,2,2-四氯乙烷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四氯乙烯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1,1,1-三氯乙烷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1,1,2-三氯乙烷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三氯乙烯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1,2,3-三氯丙烷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0.43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Cs w:val="21"/>
                <w:lang w:val="en-US" w:eastAsia="zh-CN"/>
              </w:rPr>
              <w:t>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1,4-二氯苯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乙苯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间,对-二甲苯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邻-二甲苯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半挥发性有机物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2-氯苯酚</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2256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硝基苯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䓛</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苯并[b]荧蒽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苯并[k]荧蒽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151</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茚并[1,2,3-cd]芘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二苯并[a,h]蒽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苯胺</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bl>
    <w:p>
      <w:pPr>
        <w:pStyle w:val="2"/>
        <w:ind w:firstLine="482" w:firstLineChars="200"/>
        <w:rPr>
          <w:rFonts w:hint="eastAsia" w:ascii="Times New Roman" w:hAnsi="Times New Roman" w:eastAsia="宋体" w:cs="宋体"/>
          <w:b/>
          <w:color w:val="000000"/>
          <w:kern w:val="0"/>
          <w:sz w:val="24"/>
          <w:szCs w:val="24"/>
          <w:lang w:val="en-US" w:eastAsia="zh-CN" w:bidi="ar"/>
        </w:rPr>
      </w:pPr>
    </w:p>
    <w:tbl>
      <w:tblPr>
        <w:tblStyle w:val="20"/>
        <w:tblW w:w="966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215"/>
        <w:gridCol w:w="817"/>
        <w:gridCol w:w="1638"/>
        <w:gridCol w:w="1695"/>
        <w:gridCol w:w="1692"/>
        <w:gridCol w:w="1506"/>
        <w:gridCol w:w="11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采样日期</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6.27</w:t>
            </w:r>
          </w:p>
        </w:tc>
        <w:tc>
          <w:tcPr>
            <w:tcW w:w="1506" w:type="dxa"/>
            <w:vMerge w:val="restart"/>
            <w:tcBorders>
              <w:tl2br w:val="nil"/>
              <w:tr2bl w:val="nil"/>
            </w:tcBorders>
            <w:noWrap w:val="0"/>
            <w:vAlign w:val="center"/>
          </w:tcPr>
          <w:p>
            <w:pPr>
              <w:keepNext w:val="0"/>
              <w:keepLines w:val="0"/>
              <w:widowControl/>
              <w:suppressLineNumbers w:val="0"/>
              <w:jc w:val="center"/>
              <w:rPr>
                <w:rFonts w:ascii="Times New Roman" w:hAnsi="Times New Roman" w:eastAsia="宋体"/>
              </w:rPr>
            </w:pPr>
            <w:r>
              <w:rPr>
                <w:rFonts w:hint="default" w:ascii="Times New Roman" w:hAnsi="Times New Roman" w:eastAsia="宋体" w:cs="Times New Roman"/>
                <w:b/>
                <w:color w:val="000000"/>
                <w:kern w:val="0"/>
                <w:sz w:val="20"/>
                <w:szCs w:val="20"/>
                <w:lang w:val="en-US" w:eastAsia="zh-CN" w:bidi="ar"/>
              </w:rPr>
              <w:t>GB36600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b/>
                <w:color w:val="000000"/>
                <w:kern w:val="0"/>
                <w:sz w:val="20"/>
                <w:szCs w:val="20"/>
                <w:lang w:val="en-US" w:eastAsia="zh-CN" w:bidi="ar"/>
              </w:rPr>
              <w:t>第二类筛选值</w:t>
            </w:r>
          </w:p>
        </w:tc>
        <w:tc>
          <w:tcPr>
            <w:tcW w:w="11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bCs/>
                <w:sz w:val="21"/>
                <w:szCs w:val="21"/>
                <w:lang w:val="en-US" w:eastAsia="zh-CN"/>
              </w:rPr>
              <w:t>是否达标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1146"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采样地点</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S01附房南侧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23.40</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57.71</w:t>
            </w:r>
            <w:r>
              <w:rPr>
                <w:rFonts w:hint="default" w:ascii="Times New Roman" w:hAnsi="Times New Roman" w:eastAsia="宋体" w:cs="Times New Roman"/>
                <w:sz w:val="21"/>
                <w:szCs w:val="21"/>
                <w:lang w:val="en-US" w:eastAsia="zh-CN"/>
              </w:rPr>
              <w:t>″）</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S01附房南侧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23.40</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57.71</w:t>
            </w:r>
            <w:r>
              <w:rPr>
                <w:rFonts w:hint="default" w:ascii="Times New Roman" w:hAnsi="Times New Roman" w:eastAsia="宋体" w:cs="Times New Roman"/>
                <w:sz w:val="21"/>
                <w:szCs w:val="21"/>
                <w:lang w:val="en-US" w:eastAsia="zh-CN"/>
              </w:rPr>
              <w:t>″）</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S01附房南侧</w:t>
            </w: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（E12</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23.40</w:t>
            </w:r>
            <w:r>
              <w:rPr>
                <w:rFonts w:hint="default" w:ascii="Times New Roman" w:hAnsi="Times New Roman" w:eastAsia="宋体" w:cs="Times New Roman"/>
                <w:sz w:val="21"/>
                <w:szCs w:val="21"/>
                <w:lang w:val="en-US" w:eastAsia="zh-CN"/>
              </w:rPr>
              <w:t>″ N3</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57.71</w:t>
            </w:r>
            <w:r>
              <w:rPr>
                <w:rFonts w:hint="default" w:ascii="Times New Roman" w:hAnsi="Times New Roman" w:eastAsia="宋体" w:cs="Times New Roman"/>
                <w:sz w:val="21"/>
                <w:szCs w:val="21"/>
                <w:lang w:val="en-US" w:eastAsia="zh-CN"/>
              </w:rPr>
              <w:t>″）</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203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样品状态</w:t>
            </w:r>
          </w:p>
        </w:tc>
        <w:tc>
          <w:tcPr>
            <w:tcW w:w="16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6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lang w:val="en-US" w:eastAsia="zh-CN"/>
              </w:rPr>
            </w:pPr>
            <w:r>
              <w:rPr>
                <w:rFonts w:hint="eastAsia" w:ascii="Times New Roman" w:hAnsi="Times New Roman" w:eastAsia="宋体" w:cs="Times New Roman"/>
                <w:sz w:val="21"/>
                <w:szCs w:val="21"/>
                <w:lang w:val="en-US" w:eastAsia="zh-CN"/>
              </w:rPr>
              <w:t>灰黄、粒状、砂土、大量砂砾、无其他异物</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50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50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1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sz w:val="21"/>
                <w:szCs w:val="21"/>
                <w:lang w:val="en-US" w:eastAsia="zh-CN"/>
              </w:rPr>
              <w:t>pH值</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eastAsia" w:ascii="Times New Roman" w:hAnsi="Times New Roman" w:eastAsia="宋体"/>
                <w:sz w:val="21"/>
                <w:szCs w:val="21"/>
                <w:lang w:val="en-US" w:eastAsia="zh-CN"/>
              </w:rPr>
              <w:t>无量纲</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8.24</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8.26</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822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000000"/>
                <w:sz w:val="21"/>
                <w:szCs w:val="21"/>
                <w:vertAlign w:val="baseline"/>
                <w:lang w:val="en-US" w:eastAsia="zh-CN"/>
              </w:rPr>
              <w:t>/</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5.58</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5.39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heme="minorBidi"/>
                <w:kern w:val="2"/>
                <w:sz w:val="21"/>
                <w:szCs w:val="22"/>
                <w:lang w:val="en-US" w:eastAsia="zh-CN" w:bidi="ar-SA"/>
              </w:rPr>
            </w:pPr>
            <w:r>
              <w:rPr>
                <w:rFonts w:hint="eastAsia" w:ascii="Times New Roman" w:hAnsi="Times New Roman" w:eastAsia="宋体"/>
                <w:lang w:val="en-US" w:eastAsia="zh-CN"/>
              </w:rPr>
              <w:t>4.72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汞</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0.022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0.031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0.05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铅</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10.4</w:t>
            </w:r>
          </w:p>
        </w:tc>
        <w:tc>
          <w:tcPr>
            <w:tcW w:w="1695" w:type="dxa"/>
            <w:tcBorders>
              <w:left w:val="single" w:color="auto" w:sz="4" w:space="0"/>
              <w:tl2br w:val="nil"/>
              <w:tr2bl w:val="nil"/>
            </w:tcBorders>
            <w:noWrap w:val="0"/>
            <w:vAlign w:val="center"/>
          </w:tcPr>
          <w:p>
            <w:pPr>
              <w:pStyle w:val="2"/>
              <w:jc w:val="center"/>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9.5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spacing w:val="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镍</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900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铜</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8</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18000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sz w:val="21"/>
                <w:szCs w:val="21"/>
                <w:lang w:val="en-US" w:eastAsia="zh-CN"/>
              </w:rPr>
              <w:t>石油烃</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18.8</w:t>
            </w:r>
          </w:p>
        </w:tc>
        <w:tc>
          <w:tcPr>
            <w:tcW w:w="1695"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19.8</w:t>
            </w:r>
          </w:p>
        </w:tc>
        <w:tc>
          <w:tcPr>
            <w:tcW w:w="16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21.6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六价铬</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四氯化碳</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b w:val="0"/>
                <w:bCs w:val="0"/>
                <w:szCs w:val="21"/>
                <w:highlight w:val="none"/>
                <w:lang w:val="en-US" w:eastAsia="zh-CN"/>
              </w:rPr>
              <w:t>氯仿</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szCs w:val="21"/>
                <w:highlight w:val="none"/>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yellow"/>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yellow"/>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6.8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highlight w:val="yellow"/>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olor w:val="000000"/>
                <w:sz w:val="21"/>
                <w:szCs w:val="21"/>
                <w:highlight w:val="none"/>
                <w:lang w:val="en-US" w:eastAsia="zh-CN"/>
              </w:rPr>
              <w:t>0.9</w:t>
            </w:r>
            <w:r>
              <w:rPr>
                <w:rFonts w:hint="eastAsia" w:ascii="Times New Roman" w:hAnsi="Times New Roman" w:eastAsia="宋体" w:cs="Times New Roman"/>
                <w:b w:val="0"/>
                <w:bCs/>
                <w:color w:val="000000"/>
                <w:szCs w:val="21"/>
                <w:highlight w:val="none"/>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lang w:val="en-US" w:eastAsia="zh-CN"/>
              </w:rPr>
              <w:t>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37</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9</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顺式-1,2二氯乙烯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596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反式-1,2-二氯乙烯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二氯甲烷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3.0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14.8</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5.2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616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587"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1,2-二氯丙烷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1,1,1,2-四氯乙烷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1,1,2,2-四氯乙烷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四氯乙烯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1,1,1-三氯乙烷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840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1,1,2-三氯乙烷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三氯乙烯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78"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1,2,3-三氯丙烷</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0.43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olor w:val="000000"/>
                <w:sz w:val="21"/>
                <w:szCs w:val="21"/>
                <w:lang w:val="en-US" w:eastAsia="zh-CN"/>
              </w:rPr>
              <w:t>4</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Cs w:val="21"/>
                <w:lang w:val="en-US" w:eastAsia="zh-CN"/>
              </w:rPr>
              <w:t>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sz w:val="21"/>
                <w:szCs w:val="21"/>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1,2-二氯苯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1,4-二氯苯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ND（＜1.5）</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乙苯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28</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苯乙烯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ND（＜1.1）</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Cs w:val="21"/>
                <w:lang w:val="en-US" w:eastAsia="zh-CN"/>
              </w:rPr>
              <w:t>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ND（＜1.3）</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间,对-二甲苯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邻-二甲苯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μg/kg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ND（＜1.2）</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640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9667"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半挥发性有机物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2-氯苯酚</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ND（＜0.06）</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2256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硝基苯</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76</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ND（＜0.09）</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䓛</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1293</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苯并[b]荧蒽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ND（＜0.20）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苯并[k]荧蒽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151</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苯并[a]芘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茚并[1,2,3-cd]芘</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二苯并[a,h]蒽</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ND（＜0.10）</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420" w:hRule="atLeast"/>
          <w:jc w:val="center"/>
        </w:trPr>
        <w:tc>
          <w:tcPr>
            <w:tcW w:w="12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苯胺</w:t>
            </w:r>
          </w:p>
        </w:tc>
        <w:tc>
          <w:tcPr>
            <w:tcW w:w="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Cs w:val="21"/>
                <w:lang w:val="en-US" w:eastAsia="zh-CN"/>
              </w:rPr>
              <w:t>mg/kg</w:t>
            </w:r>
          </w:p>
        </w:tc>
        <w:tc>
          <w:tcPr>
            <w:tcW w:w="1638"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5"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692" w:type="dxa"/>
            <w:tcBorders>
              <w:left w:val="single" w:color="auto" w:sz="4" w:space="0"/>
              <w:tl2br w:val="nil"/>
              <w:tr2bl w:val="nil"/>
            </w:tcBorders>
            <w:noWrap w:val="0"/>
            <w:vAlign w:val="center"/>
          </w:tcPr>
          <w:p>
            <w:pPr>
              <w:keepNext w:val="0"/>
              <w:keepLines w:val="0"/>
              <w:widowControl/>
              <w:suppressLineNumbers w:val="0"/>
              <w:jc w:val="center"/>
              <w:textAlignment w:val="bottom"/>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ND（＜0.04）</w:t>
            </w:r>
          </w:p>
        </w:tc>
        <w:tc>
          <w:tcPr>
            <w:tcW w:w="15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260</w:t>
            </w:r>
            <w:r>
              <w:rPr>
                <w:rFonts w:hint="eastAsia" w:ascii="Times New Roman" w:hAnsi="Times New Roman" w:eastAsia="宋体" w:cs="Times New Roman"/>
                <w:b w:val="0"/>
                <w:bCs/>
                <w:szCs w:val="21"/>
                <w:lang w:val="en-US" w:eastAsia="zh-CN"/>
              </w:rPr>
              <w:t>mg/kg</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bl>
    <w:p>
      <w:pPr>
        <w:pStyle w:val="2"/>
        <w:rPr>
          <w:rFonts w:hint="eastAsia" w:ascii="Times New Roman" w:hAnsi="Times New Roman" w:eastAsia="宋体" w:cs="宋体"/>
          <w:b/>
          <w:color w:val="000000"/>
          <w:kern w:val="0"/>
          <w:sz w:val="24"/>
          <w:szCs w:val="24"/>
          <w:lang w:val="en-US" w:eastAsia="zh-CN" w:bidi="ar"/>
        </w:rPr>
      </w:pPr>
    </w:p>
    <w:p>
      <w:pPr>
        <w:pStyle w:val="2"/>
        <w:ind w:firstLine="482" w:firstLineChars="200"/>
        <w:rPr>
          <w:rFonts w:hint="eastAsia" w:ascii="Times New Roman" w:hAnsi="Times New Roman" w:eastAsia="宋体" w:cs="宋体"/>
          <w:b/>
          <w:color w:val="000000"/>
          <w:kern w:val="0"/>
          <w:sz w:val="24"/>
          <w:szCs w:val="24"/>
          <w:lang w:val="en-US" w:eastAsia="zh-CN" w:bidi="ar"/>
        </w:rPr>
      </w:pPr>
    </w:p>
    <w:p>
      <w:pPr>
        <w:pStyle w:val="2"/>
        <w:outlineLvl w:val="1"/>
        <w:rPr>
          <w:rFonts w:hint="eastAsia" w:ascii="Times New Roman" w:hAnsi="Times New Roman" w:eastAsia="宋体" w:cs="Times New Roman"/>
          <w:sz w:val="24"/>
          <w:szCs w:val="24"/>
          <w:lang w:val="en-US" w:eastAsia="zh-CN"/>
        </w:rPr>
      </w:pPr>
      <w:bookmarkStart w:id="41" w:name="_Toc12587"/>
      <w:r>
        <w:rPr>
          <w:rFonts w:hint="eastAsia" w:ascii="Times New Roman" w:hAnsi="Times New Roman" w:eastAsia="宋体" w:cs="Times New Roman"/>
          <w:sz w:val="28"/>
          <w:szCs w:val="28"/>
          <w:lang w:val="en-US" w:eastAsia="zh-CN"/>
        </w:rPr>
        <w:t>7.2土壤污染状况分析</w:t>
      </w:r>
      <w:bookmarkEnd w:id="41"/>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本次调查共分析土壤样品18个，检测结果汇总见表7.1-1。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从表 </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宋体"/>
          <w:color w:val="000000"/>
          <w:kern w:val="0"/>
          <w:sz w:val="24"/>
          <w:szCs w:val="24"/>
          <w:lang w:val="en-US" w:eastAsia="zh-CN" w:bidi="ar"/>
        </w:rPr>
        <w:t>可以看出，场地内和对照点均符合《土壤环境质量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 36600-2018</w:t>
      </w:r>
      <w:r>
        <w:rPr>
          <w:rFonts w:hint="eastAsia" w:ascii="Times New Roman" w:hAnsi="Times New Roman" w:eastAsia="宋体" w:cs="宋体"/>
          <w:color w:val="000000"/>
          <w:kern w:val="0"/>
          <w:sz w:val="24"/>
          <w:szCs w:val="24"/>
          <w:lang w:val="en-US" w:eastAsia="zh-CN" w:bidi="ar"/>
        </w:rPr>
        <w:t xml:space="preserve">）表1中第二类用地的筛选值。具体检出情况描述如下：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（1）重金属：场地内和对照点砷、镉、铜、铅、汞、镍检出，检出值满足《土壤环境质量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 36600-2018</w:t>
      </w:r>
      <w:r>
        <w:rPr>
          <w:rFonts w:hint="eastAsia" w:ascii="Times New Roman" w:hAnsi="Times New Roman" w:eastAsia="宋体" w:cs="宋体"/>
          <w:color w:val="000000"/>
          <w:kern w:val="0"/>
          <w:sz w:val="24"/>
          <w:szCs w:val="24"/>
          <w:lang w:val="en-US" w:eastAsia="zh-CN" w:bidi="ar"/>
        </w:rPr>
        <w:t xml:space="preserve">）表1中第二类用地的筛选值；六价铬未检出，检出限均小于筛选值，说明检测指标符合评价标准。 </w:t>
      </w:r>
    </w:p>
    <w:p>
      <w:pPr>
        <w:pStyle w:val="2"/>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2</w:t>
      </w:r>
      <w:r>
        <w:rPr>
          <w:rFonts w:hint="eastAsia" w:ascii="Times New Roman" w:hAnsi="Times New Roman" w:eastAsia="宋体" w:cs="宋体"/>
          <w:color w:val="000000"/>
          <w:kern w:val="0"/>
          <w:sz w:val="24"/>
          <w:szCs w:val="24"/>
          <w:lang w:val="en-US" w:eastAsia="zh-CN" w:bidi="ar"/>
        </w:rPr>
        <w:t>）挥发性有机物、半挥发性有机物：场地内和对照点二氯甲烷、氯仿检出，二氯甲烷、氯仿检出值满足《土壤环境质量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 36600-2018</w:t>
      </w:r>
      <w:r>
        <w:rPr>
          <w:rFonts w:hint="eastAsia" w:ascii="Times New Roman" w:hAnsi="Times New Roman" w:eastAsia="宋体" w:cs="宋体"/>
          <w:color w:val="000000"/>
          <w:kern w:val="0"/>
          <w:sz w:val="24"/>
          <w:szCs w:val="24"/>
          <w:lang w:val="en-US" w:eastAsia="zh-CN" w:bidi="ar"/>
        </w:rPr>
        <w:t>）表1中第二类用地的筛选值；其余均未检出，检出限均小于筛选值，说明检测指标符合评价标准。</w:t>
      </w:r>
    </w:p>
    <w:p>
      <w:pPr>
        <w:pStyle w:val="2"/>
        <w:outlineLvl w:val="9"/>
        <w:rPr>
          <w:rFonts w:hint="eastAsia" w:ascii="Times New Roman" w:hAnsi="Times New Roman" w:eastAsia="宋体" w:cs="Times New Roman"/>
          <w:sz w:val="28"/>
          <w:szCs w:val="28"/>
          <w:lang w:val="en-US" w:eastAsia="zh-CN"/>
        </w:rPr>
      </w:pPr>
      <w:bookmarkStart w:id="42" w:name="_Toc20994"/>
    </w:p>
    <w:p>
      <w:pPr>
        <w:pStyle w:val="2"/>
        <w:outlineLvl w:val="9"/>
        <w:rPr>
          <w:rFonts w:hint="eastAsia" w:ascii="Times New Roman" w:hAnsi="Times New Roman" w:eastAsia="宋体" w:cs="Times New Roman"/>
          <w:sz w:val="28"/>
          <w:szCs w:val="28"/>
          <w:lang w:val="en-US" w:eastAsia="zh-CN"/>
        </w:rPr>
      </w:pPr>
    </w:p>
    <w:p>
      <w:pPr>
        <w:pStyle w:val="2"/>
        <w:outlineLvl w:val="9"/>
        <w:rPr>
          <w:rFonts w:hint="eastAsia" w:ascii="Times New Roman" w:hAnsi="Times New Roman" w:eastAsia="宋体" w:cs="Times New Roman"/>
          <w:sz w:val="28"/>
          <w:szCs w:val="28"/>
          <w:lang w:val="en-US" w:eastAsia="zh-CN"/>
        </w:rPr>
      </w:pPr>
    </w:p>
    <w:p>
      <w:pPr>
        <w:pStyle w:val="2"/>
        <w:outlineLvl w:val="9"/>
        <w:rPr>
          <w:rFonts w:hint="eastAsia" w:ascii="Times New Roman" w:hAnsi="Times New Roman" w:eastAsia="宋体" w:cs="Times New Roman"/>
          <w:sz w:val="28"/>
          <w:szCs w:val="28"/>
          <w:lang w:val="en-US" w:eastAsia="zh-CN"/>
        </w:rPr>
      </w:pPr>
    </w:p>
    <w:p>
      <w:pPr>
        <w:pStyle w:val="2"/>
        <w:outlineLvl w:val="9"/>
        <w:rPr>
          <w:rFonts w:hint="eastAsia" w:ascii="Times New Roman" w:hAnsi="Times New Roman" w:eastAsia="宋体" w:cs="Times New Roman"/>
          <w:sz w:val="28"/>
          <w:szCs w:val="28"/>
          <w:lang w:val="en-US" w:eastAsia="zh-CN"/>
        </w:rPr>
      </w:pPr>
    </w:p>
    <w:p>
      <w:pPr>
        <w:pStyle w:val="2"/>
        <w:outlineLvl w:val="9"/>
        <w:rPr>
          <w:rFonts w:hint="eastAsia" w:ascii="Times New Roman" w:hAnsi="Times New Roman" w:eastAsia="宋体" w:cs="Times New Roman"/>
          <w:sz w:val="28"/>
          <w:szCs w:val="28"/>
          <w:lang w:val="en-US" w:eastAsia="zh-CN"/>
        </w:rPr>
      </w:pPr>
    </w:p>
    <w:p>
      <w:pPr>
        <w:pStyle w:val="2"/>
        <w:outlineLvl w:val="9"/>
        <w:rPr>
          <w:rFonts w:hint="eastAsia" w:ascii="Times New Roman" w:hAnsi="Times New Roman" w:eastAsia="宋体" w:cs="Times New Roman"/>
          <w:sz w:val="28"/>
          <w:szCs w:val="28"/>
          <w:lang w:val="en-US" w:eastAsia="zh-CN"/>
        </w:rPr>
      </w:pPr>
    </w:p>
    <w:p>
      <w:pPr>
        <w:pStyle w:val="2"/>
        <w:outlineLvl w:val="1"/>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7.3地下水监测结果</w:t>
      </w:r>
      <w:bookmarkEnd w:id="42"/>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rPr>
        <w:t>本次监测地下水首选评价</w:t>
      </w:r>
      <w:r>
        <w:rPr>
          <w:rFonts w:hint="eastAsia" w:ascii="Times New Roman" w:hAnsi="Times New Roman" w:eastAsia="宋体" w:cs="Times New Roman"/>
          <w:sz w:val="24"/>
          <w:szCs w:val="24"/>
        </w:rPr>
        <w:t>标准</w:t>
      </w:r>
      <w:r>
        <w:rPr>
          <w:rFonts w:ascii="Times New Roman" w:hAnsi="Times New Roman" w:eastAsia="宋体" w:cs="Times New Roman"/>
          <w:sz w:val="24"/>
          <w:szCs w:val="24"/>
        </w:rPr>
        <w:t>为《</w:t>
      </w:r>
      <w:r>
        <w:rPr>
          <w:rFonts w:hint="eastAsia" w:ascii="Times New Roman" w:hAnsi="Times New Roman" w:eastAsia="宋体" w:cs="Times New Roman"/>
          <w:sz w:val="24"/>
          <w:szCs w:val="24"/>
        </w:rPr>
        <w:t>地下水</w:t>
      </w:r>
      <w:r>
        <w:rPr>
          <w:rFonts w:ascii="Times New Roman" w:hAnsi="Times New Roman" w:eastAsia="宋体" w:cs="Times New Roman"/>
          <w:sz w:val="24"/>
          <w:szCs w:val="24"/>
        </w:rPr>
        <w:t>质量标准》</w:t>
      </w:r>
      <w:r>
        <w:rPr>
          <w:rFonts w:hint="eastAsia" w:ascii="Times New Roman" w:hAnsi="Times New Roman" w:eastAsia="宋体" w:cs="Times New Roman"/>
          <w:sz w:val="24"/>
          <w:szCs w:val="24"/>
        </w:rPr>
        <w:t>（GB/T 14848</w:t>
      </w:r>
      <w:r>
        <w:rPr>
          <w:rFonts w:ascii="Times New Roman" w:hAnsi="Times New Roman" w:eastAsia="宋体" w:cs="Times New Roman"/>
          <w:sz w:val="24"/>
          <w:szCs w:val="24"/>
        </w:rPr>
        <w:t>-2017</w:t>
      </w:r>
      <w:r>
        <w:rPr>
          <w:rFonts w:hint="eastAsia" w:ascii="Times New Roman" w:hAnsi="Times New Roman" w:eastAsia="宋体" w:cs="Times New Roman"/>
          <w:sz w:val="24"/>
          <w:szCs w:val="24"/>
        </w:rPr>
        <w:t>）IV类</w:t>
      </w:r>
      <w:r>
        <w:rPr>
          <w:rFonts w:ascii="Times New Roman" w:hAnsi="Times New Roman" w:eastAsia="宋体" w:cs="Times New Roman"/>
          <w:sz w:val="24"/>
          <w:szCs w:val="24"/>
        </w:rPr>
        <w:t>标准值（</w:t>
      </w:r>
      <w:r>
        <w:rPr>
          <w:rFonts w:hint="eastAsia" w:ascii="Times New Roman" w:hAnsi="Times New Roman" w:eastAsia="宋体" w:cs="Times New Roman"/>
          <w:sz w:val="24"/>
          <w:szCs w:val="24"/>
        </w:rPr>
        <w:t>以</w:t>
      </w:r>
      <w:r>
        <w:rPr>
          <w:rFonts w:ascii="Times New Roman" w:hAnsi="Times New Roman" w:eastAsia="宋体" w:cs="Times New Roman"/>
          <w:sz w:val="24"/>
          <w:szCs w:val="24"/>
        </w:rPr>
        <w:t>农业和工业用水质量要求以及一定水平的人体健康</w:t>
      </w:r>
      <w:r>
        <w:rPr>
          <w:rFonts w:hint="eastAsia" w:ascii="Times New Roman" w:hAnsi="Times New Roman" w:eastAsia="宋体" w:cs="Times New Roman"/>
          <w:sz w:val="24"/>
          <w:szCs w:val="24"/>
        </w:rPr>
        <w:t>风险</w:t>
      </w:r>
      <w:r>
        <w:rPr>
          <w:rFonts w:ascii="Times New Roman" w:hAnsi="Times New Roman" w:eastAsia="宋体" w:cs="Times New Roman"/>
          <w:sz w:val="24"/>
          <w:szCs w:val="24"/>
        </w:rPr>
        <w:t>为依据，适用于农业和部分工业用水，适当处理后可作生活饮用水）</w:t>
      </w:r>
      <w:r>
        <w:rPr>
          <w:rFonts w:hint="eastAsia" w:ascii="Times New Roman" w:hAnsi="Times New Roman" w:eastAsia="宋体" w:cs="Times New Roman"/>
          <w:sz w:val="24"/>
          <w:szCs w:val="24"/>
          <w:lang w:eastAsia="zh-CN"/>
        </w:rPr>
        <w:t>。</w:t>
      </w:r>
    </w:p>
    <w:p>
      <w:pPr>
        <w:pStyle w:val="2"/>
        <w:jc w:val="center"/>
        <w:rPr>
          <w:rFonts w:ascii="Times New Roman" w:hAnsi="Times New Roman" w:eastAsia="宋体" w:cs="Times New Roman"/>
          <w:sz w:val="24"/>
          <w:szCs w:val="24"/>
        </w:rPr>
      </w:pPr>
      <w:r>
        <w:rPr>
          <w:rFonts w:hint="eastAsia" w:ascii="Times New Roman" w:hAnsi="Times New Roman" w:eastAsia="宋体" w:cs="宋体"/>
          <w:b/>
          <w:color w:val="000000"/>
          <w:kern w:val="0"/>
          <w:sz w:val="24"/>
          <w:szCs w:val="24"/>
          <w:lang w:val="en-US" w:eastAsia="zh-CN" w:bidi="ar"/>
        </w:rPr>
        <w:t>表 7.2-1 地下水监测结果表</w:t>
      </w:r>
    </w:p>
    <w:tbl>
      <w:tblPr>
        <w:tblStyle w:val="20"/>
        <w:tblpPr w:leftFromText="180" w:rightFromText="180" w:vertAnchor="text" w:horzAnchor="page" w:tblpXSpec="center" w:tblpY="281"/>
        <w:tblOverlap w:val="never"/>
        <w:tblW w:w="96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57" w:type="dxa"/>
          <w:bottom w:w="0" w:type="dxa"/>
          <w:right w:w="57" w:type="dxa"/>
        </w:tblCellMar>
      </w:tblPr>
      <w:tblGrid>
        <w:gridCol w:w="1080"/>
        <w:gridCol w:w="720"/>
        <w:gridCol w:w="1125"/>
        <w:gridCol w:w="1095"/>
        <w:gridCol w:w="1110"/>
        <w:gridCol w:w="1185"/>
        <w:gridCol w:w="1200"/>
        <w:gridCol w:w="1143"/>
        <w:gridCol w:w="10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8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采样日期</w:t>
            </w:r>
          </w:p>
        </w:tc>
        <w:tc>
          <w:tcPr>
            <w:tcW w:w="571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2021.06.27</w:t>
            </w:r>
          </w:p>
        </w:tc>
        <w:tc>
          <w:tcPr>
            <w:tcW w:w="11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sz w:val="21"/>
                <w:szCs w:val="21"/>
                <w:lang w:val="en-US" w:eastAsia="zh-CN"/>
              </w:rPr>
              <w:t>GB/T 14848 Ⅳ类标准</w:t>
            </w:r>
          </w:p>
        </w:tc>
        <w:tc>
          <w:tcPr>
            <w:tcW w:w="102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 w:val="21"/>
                <w:szCs w:val="21"/>
                <w:lang w:val="en-US" w:eastAsia="zh-CN"/>
              </w:rPr>
              <w:t>是否满足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8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采样地点</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罐区及甲类库罐区北侧 2A01</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宋体"/>
                <w:sz w:val="21"/>
                <w:szCs w:val="21"/>
                <w:lang w:val="en-US" w:eastAsia="zh-CN"/>
              </w:rPr>
              <w:t>生产区 氯化苄联产车间北侧 2B01</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仓库区 盐酸罐区北侧 2C01</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rPr>
              <w:t>污水处理区 收集池西侧 2D01</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对照点 附房南侧 W01</w:t>
            </w:r>
          </w:p>
        </w:tc>
        <w:tc>
          <w:tcPr>
            <w:tcW w:w="11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0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80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样品状态</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微浑、无异味、无浮油</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微浑、无异味、无浮油</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微浑、无异味、无浮油</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微浑、无异味、无浮油</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微浑、无异味、无浮油</w:t>
            </w:r>
          </w:p>
        </w:tc>
        <w:tc>
          <w:tcPr>
            <w:tcW w:w="11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c>
          <w:tcPr>
            <w:tcW w:w="10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检测项目</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w:t>
            </w:r>
          </w:p>
        </w:tc>
        <w:tc>
          <w:tcPr>
            <w:tcW w:w="5715"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检测结果</w:t>
            </w:r>
          </w:p>
        </w:tc>
        <w:tc>
          <w:tcPr>
            <w:tcW w:w="11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c>
          <w:tcPr>
            <w:tcW w:w="102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9686"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感官性状及一般化学指标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色度</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度</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25</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臭和味</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无</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浊度</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NTU</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2.25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4.52</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3.77</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8.72</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10</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肉眼可见</w:t>
            </w:r>
            <w:r>
              <w:rPr>
                <w:rFonts w:hint="eastAsia" w:ascii="Times New Roman" w:hAnsi="Times New Roman" w:eastAsia="宋体" w:cs="Times New Roman"/>
                <w:color w:val="000000"/>
                <w:sz w:val="21"/>
                <w:szCs w:val="21"/>
                <w:lang w:val="en-US" w:eastAsia="zh-CN"/>
              </w:rPr>
              <w:t>物</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无</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pH值</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无量纲</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7.52</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7.56</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7.51</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7.49</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highlight w:val="none"/>
                <w:lang w:val="en-US" w:eastAsia="zh-CN"/>
              </w:rPr>
              <w:t>总硬度</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510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sz w:val="21"/>
                <w:szCs w:val="21"/>
                <w:highlight w:val="yellow"/>
                <w:lang w:val="en-US" w:eastAsia="zh-CN"/>
              </w:rPr>
            </w:pPr>
            <w:r>
              <w:rPr>
                <w:rFonts w:hint="eastAsia" w:ascii="Times New Roman" w:hAnsi="Times New Roman" w:eastAsia="宋体" w:cs="Times New Roman"/>
                <w:color w:val="FF0000"/>
                <w:sz w:val="21"/>
                <w:szCs w:val="21"/>
                <w:highlight w:val="yellow"/>
                <w:lang w:val="en-US" w:eastAsia="zh-CN"/>
              </w:rPr>
              <w:t>960</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yellow"/>
                <w:lang w:val="en-US" w:eastAsia="zh-CN"/>
              </w:rPr>
              <w:t>1.33×10</w:t>
            </w:r>
            <w:r>
              <w:rPr>
                <w:rFonts w:hint="eastAsia" w:ascii="Times New Roman" w:hAnsi="Times New Roman" w:eastAsia="宋体" w:cs="Times New Roman"/>
                <w:sz w:val="21"/>
                <w:szCs w:val="21"/>
                <w:highlight w:val="yellow"/>
                <w:vertAlign w:val="superscript"/>
                <w:lang w:val="en-US" w:eastAsia="zh-CN"/>
              </w:rPr>
              <w:t>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85.1</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≤650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highlight w:val="none"/>
                <w:lang w:val="en-US" w:eastAsia="zh-CN"/>
              </w:rPr>
              <w:t>溶解性总固体</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688</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1.15×10</w:t>
            </w:r>
            <w:r>
              <w:rPr>
                <w:rFonts w:hint="eastAsia" w:ascii="Times New Roman" w:hAnsi="Times New Roman" w:eastAsia="宋体" w:cs="Times New Roman"/>
                <w:sz w:val="21"/>
                <w:szCs w:val="21"/>
                <w:highlight w:val="none"/>
                <w:vertAlign w:val="superscript"/>
                <w:lang w:val="en-US" w:eastAsia="zh-CN"/>
              </w:rPr>
              <w:t>3</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1.47×10</w:t>
            </w:r>
            <w:r>
              <w:rPr>
                <w:rFonts w:hint="eastAsia" w:ascii="Times New Roman" w:hAnsi="Times New Roman" w:eastAsia="宋体" w:cs="Times New Roman"/>
                <w:sz w:val="21"/>
                <w:szCs w:val="21"/>
                <w:highlight w:val="none"/>
                <w:vertAlign w:val="superscript"/>
                <w:lang w:val="en-US" w:eastAsia="zh-CN"/>
              </w:rPr>
              <w:t>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1.07×10</w:t>
            </w:r>
            <w:r>
              <w:rPr>
                <w:rFonts w:hint="eastAsia" w:ascii="Times New Roman" w:hAnsi="Times New Roman" w:eastAsia="宋体" w:cs="Times New Roman"/>
                <w:sz w:val="21"/>
                <w:szCs w:val="21"/>
                <w:highlight w:val="none"/>
                <w:vertAlign w:val="superscript"/>
                <w:lang w:val="en-US" w:eastAsia="zh-CN"/>
              </w:rPr>
              <w:t>3</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1.17×10</w:t>
            </w:r>
            <w:r>
              <w:rPr>
                <w:rFonts w:hint="eastAsia" w:ascii="Times New Roman" w:hAnsi="Times New Roman" w:eastAsia="宋体" w:cs="Times New Roman"/>
                <w:sz w:val="21"/>
                <w:szCs w:val="21"/>
                <w:highlight w:val="none"/>
                <w:vertAlign w:val="superscript"/>
                <w:lang w:val="en-US" w:eastAsia="zh-CN"/>
              </w:rPr>
              <w:t>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2000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硫酸盐</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25.6</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22.9</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21.1</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≤350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氯化物</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261</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highlight w:val="yellow"/>
                <w:lang w:val="en-US" w:eastAsia="zh-CN"/>
              </w:rPr>
              <w:t>996</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yellow"/>
                <w:lang w:val="en-US" w:eastAsia="zh-CN"/>
              </w:rPr>
              <w:t>1.35×10</w:t>
            </w:r>
            <w:r>
              <w:rPr>
                <w:rFonts w:hint="eastAsia" w:ascii="Times New Roman" w:hAnsi="Times New Roman" w:eastAsia="宋体" w:cs="Times New Roman"/>
                <w:sz w:val="21"/>
                <w:szCs w:val="21"/>
                <w:highlight w:val="yellow"/>
                <w:vertAlign w:val="superscript"/>
                <w:lang w:val="en-US" w:eastAsia="zh-CN"/>
              </w:rPr>
              <w:t>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88.0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≤350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铁</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0.15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0.20</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0.17</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ND（＜0.03）</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yellow"/>
                <w:lang w:val="en-US" w:eastAsia="zh-CN"/>
              </w:rPr>
              <w:t>2.63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锰</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1.33</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1.40</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0.14</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≤1.50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铜</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ND（＜0.01）</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ND（＜0.01）</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ND（＜0.01）</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ND（＜0.01）</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ND（＜0.01）</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≤1.50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锌</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ND（＜0.01）</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ND（＜0.01）</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ND（＜0.01）</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ND（＜0.01）</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ND（＜0.01）</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≤5.00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挥发酚</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ND（＜0.0003）</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ND（＜0.0003）</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ND（＜0.0003）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ND（＜0.0003）</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ND（＜0.0003）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≤0.01mg/L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阴离子表面活性剂</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耗氧量</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2.58</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2.78</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6.88</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7.65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氨氮</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0.110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0.414</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0.372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0.256</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0.146</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≤1.50mg/L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钠</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56.6</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66.5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FF0000"/>
                <w:sz w:val="21"/>
                <w:szCs w:val="21"/>
                <w:lang w:val="en-US" w:eastAsia="zh-CN"/>
              </w:rPr>
              <w:t>366</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≤400mg/L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总大肠菌群</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MPN/L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94</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81</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84</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95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94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ascii="Times New Roman" w:hAnsi="Times New Roman" w:eastAsia="宋体"/>
                <w:color w:val="auto"/>
              </w:rPr>
              <w:t>≤100MPN/100mL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菌</w:t>
            </w:r>
            <w:r>
              <w:rPr>
                <w:rFonts w:hint="eastAsia" w:ascii="Times New Roman" w:hAnsi="Times New Roman" w:eastAsia="宋体" w:cs="Times New Roman"/>
                <w:color w:val="000000"/>
                <w:sz w:val="21"/>
                <w:szCs w:val="21"/>
                <w:highlight w:val="none"/>
                <w:lang w:val="en-US" w:eastAsia="zh-CN"/>
              </w:rPr>
              <w:t>落</w:t>
            </w:r>
            <w:r>
              <w:rPr>
                <w:rFonts w:hint="default" w:ascii="Times New Roman" w:hAnsi="Times New Roman" w:eastAsia="宋体" w:cs="Times New Roman"/>
                <w:color w:val="000000"/>
                <w:sz w:val="21"/>
                <w:szCs w:val="21"/>
                <w:highlight w:val="none"/>
                <w:lang w:val="en-US" w:eastAsia="zh-CN"/>
              </w:rPr>
              <w:t>总数</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CFU/ml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vertAlign w:val="superscript"/>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125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100</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rPr>
              <w:t>135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rPr>
              <w:t>140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rPr>
              <w:t>110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1000</w:t>
            </w:r>
            <w:r>
              <w:rPr>
                <w:rFonts w:ascii="Times New Roman" w:hAnsi="Times New Roman" w:eastAsia="宋体"/>
                <w:color w:val="auto"/>
              </w:rPr>
              <w:t>CFU/mL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亚硝酸盐氮</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sz w:val="21"/>
                <w:szCs w:val="21"/>
                <w:lang w:val="en-US" w:eastAsia="zh-CN"/>
              </w:rPr>
              <w:t>ND（＜0.003）</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ND（＜0.003）</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ND（＜0.003）</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≤4.80mg/L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硝酸盐氮</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8.80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7.65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1.91</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2.65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3.48</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kern w:val="2"/>
                <w:sz w:val="21"/>
                <w:szCs w:val="21"/>
                <w:lang w:val="en-US" w:eastAsia="zh-CN" w:bidi="ar-SA"/>
              </w:rPr>
              <w:t>30</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氰化物</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氟化物</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0.54</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0.47</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0.42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0.50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0.45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汞</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highlight w:val="none"/>
                <w:lang w:val="en-US" w:eastAsia="zh-CN"/>
              </w:rPr>
              <w:t>0.08</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ND（＜0.04）</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ND（＜0.04）</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1.90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0.20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≤0.002mg/L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砷</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ND（＜0.3）</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ND（＜0.3）</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ND（＜0.3）</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ND（＜0.3）</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≤0.05mg/L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硒</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ND（＜0.40）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ND（＜0.40）</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ND（＜0.40）</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ND（＜0.40）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ND（＜0.40）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镉</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ND（＜0.025）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0.125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0.128</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ND（＜0.025）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ND（＜0.025）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1mg/L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highlight w:val="none"/>
                <w:lang w:val="en-US" w:eastAsia="zh-CN"/>
              </w:rPr>
              <w:t>铬（六价）</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ND（＜0.004）</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ND（＜0.004）</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ND（＜0.004）</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ND（＜0.004）</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ND（＜0.004）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铅</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ND（＜0.25）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ND（＜0.25）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ND（＜0.25）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ND（＜0.25）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ND（＜0.25）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四氯化碳</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sz w:val="21"/>
                <w:szCs w:val="21"/>
                <w:lang w:val="en-US" w:eastAsia="zh-CN"/>
              </w:rPr>
              <w:t>ND（＜1.5）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sz w:val="21"/>
                <w:szCs w:val="21"/>
                <w:lang w:val="en-US" w:eastAsia="zh-CN"/>
              </w:rPr>
              <w:t>ND（＜1.5）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sz w:val="21"/>
                <w:szCs w:val="21"/>
                <w:lang w:val="en-US" w:eastAsia="zh-CN"/>
              </w:rPr>
              <w:t>ND（＜1.5）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sz w:val="21"/>
                <w:szCs w:val="21"/>
                <w:lang w:val="en-US" w:eastAsia="zh-CN"/>
              </w:rPr>
              <w:t>ND（＜1.5）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sz w:val="21"/>
                <w:szCs w:val="21"/>
                <w:lang w:val="en-US" w:eastAsia="zh-CN"/>
              </w:rPr>
              <w:t>ND（＜1.5）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苯</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≤0.1</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甲苯</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1.4</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氯苯</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ND（＜1.0）</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ND（＜1.0）</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ND（＜1.0）</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0.6</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lang w:val="en-US" w:eastAsia="zh-CN"/>
              </w:rPr>
              <w:t>碘化物</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ND（＜0.002）</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lang w:val="en-US" w:eastAsia="zh-CN"/>
              </w:rPr>
              <w:t>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highlight w:val="none"/>
                <w:lang w:val="en-US" w:eastAsia="zh-CN"/>
              </w:rPr>
              <w:t>三氯甲烷</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µg/L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sz w:val="21"/>
                <w:szCs w:val="21"/>
                <w:lang w:val="en-US" w:eastAsia="zh-CN"/>
              </w:rPr>
              <w:t>15.0</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yellow"/>
                <w:lang w:val="en-US" w:eastAsia="zh-CN" w:bidi="ar-SA"/>
              </w:rPr>
            </w:pPr>
            <w:r>
              <w:rPr>
                <w:rFonts w:hint="eastAsia" w:ascii="Times New Roman" w:hAnsi="Times New Roman" w:eastAsia="宋体" w:cs="Times New Roman"/>
                <w:b w:val="0"/>
                <w:bCs w:val="0"/>
                <w:sz w:val="21"/>
                <w:szCs w:val="21"/>
                <w:highlight w:val="yellow"/>
                <w:lang w:val="en-US" w:eastAsia="zh-CN"/>
              </w:rPr>
              <w:t>586</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kern w:val="2"/>
                <w:sz w:val="21"/>
                <w:szCs w:val="21"/>
                <w:highlight w:val="yellow"/>
                <w:vertAlign w:val="superscript"/>
                <w:lang w:val="en-US" w:eastAsia="zh-CN" w:bidi="ar-SA"/>
              </w:rPr>
            </w:pPr>
            <w:r>
              <w:rPr>
                <w:rFonts w:hint="eastAsia" w:ascii="Times New Roman" w:hAnsi="Times New Roman" w:eastAsia="宋体" w:cs="Times New Roman"/>
                <w:b w:val="0"/>
                <w:bCs w:val="0"/>
                <w:color w:val="FF0000"/>
                <w:sz w:val="21"/>
                <w:szCs w:val="21"/>
                <w:highlight w:val="yellow"/>
                <w:lang w:val="en-US" w:eastAsia="zh-CN"/>
              </w:rPr>
              <w:t>652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ND（＜1.4）</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≤0.3mg/L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甲醛</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甲醇</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ND（＜0.2）</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ND（＜0.2）</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ND（＜0.2）</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ND（＜0.2）</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ND（＜0.2）</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可萃取性石油烃 （C10-C40）</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0.84</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0.85</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0.93</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0.32</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1.15</w:t>
            </w:r>
          </w:p>
        </w:tc>
        <w:tc>
          <w:tcPr>
            <w:tcW w:w="11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57" w:type="dxa"/>
            <w:bottom w:w="0" w:type="dxa"/>
            <w:right w:w="57" w:type="dxa"/>
          </w:tblCellMar>
        </w:tblPrEx>
        <w:trPr>
          <w:cantSplit/>
          <w:trHeight w:val="397" w:hRule="atLeast"/>
          <w:jc w:val="center"/>
        </w:trPr>
        <w:tc>
          <w:tcPr>
            <w:tcW w:w="10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highlight w:val="none"/>
                <w:lang w:val="en-US" w:eastAsia="zh-CN" w:bidi="ar-SA"/>
              </w:rPr>
            </w:pPr>
            <w:bookmarkStart w:id="43" w:name="_Toc18130"/>
            <w:r>
              <w:rPr>
                <w:rFonts w:hint="default" w:ascii="Times New Roman" w:hAnsi="Times New Roman" w:eastAsia="宋体" w:cs="Times New Roman"/>
                <w:color w:val="000000"/>
                <w:sz w:val="21"/>
                <w:szCs w:val="21"/>
                <w:highlight w:val="none"/>
                <w:lang w:val="en-US" w:eastAsia="zh-CN"/>
              </w:rPr>
              <w:t>铝</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mg/L</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ND（＜0.009）</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0.053</w:t>
            </w:r>
          </w:p>
        </w:tc>
        <w:tc>
          <w:tcPr>
            <w:tcW w:w="11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sz w:val="21"/>
                <w:szCs w:val="21"/>
                <w:lang w:val="en-US" w:eastAsia="zh-CN"/>
              </w:rPr>
              <w:t>ND（＜0.009）</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kern w:val="2"/>
                <w:sz w:val="21"/>
                <w:szCs w:val="21"/>
                <w:highlight w:val="yellow"/>
                <w:lang w:val="en-US" w:eastAsia="zh-CN" w:bidi="ar-SA"/>
              </w:rPr>
            </w:pPr>
            <w:r>
              <w:rPr>
                <w:rFonts w:hint="eastAsia" w:ascii="Times New Roman" w:hAnsi="Times New Roman" w:cs="Times New Roman"/>
                <w:sz w:val="21"/>
                <w:szCs w:val="21"/>
                <w:highlight w:val="yellow"/>
                <w:lang w:val="en-US" w:eastAsia="zh-CN"/>
              </w:rPr>
              <w:t>1.79</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kern w:val="2"/>
                <w:sz w:val="21"/>
                <w:szCs w:val="21"/>
                <w:highlight w:val="yellow"/>
                <w:lang w:val="en-US" w:eastAsia="zh-CN" w:bidi="ar-SA"/>
              </w:rPr>
            </w:pPr>
            <w:r>
              <w:rPr>
                <w:rFonts w:hint="eastAsia" w:ascii="Times New Roman" w:hAnsi="Times New Roman" w:cs="Times New Roman"/>
                <w:sz w:val="21"/>
                <w:szCs w:val="21"/>
                <w:highlight w:val="yellow"/>
                <w:lang w:val="en-US" w:eastAsia="zh-CN"/>
              </w:rPr>
              <w:t>1.70</w:t>
            </w:r>
          </w:p>
        </w:tc>
        <w:tc>
          <w:tcPr>
            <w:tcW w:w="1143" w:type="dxa"/>
            <w:tcBorders>
              <w:tl2br w:val="nil"/>
              <w:tr2bl w:val="nil"/>
            </w:tcBorders>
            <w:noWrap w:val="0"/>
            <w:vAlign w:val="center"/>
          </w:tcPr>
          <w:p>
            <w:pPr>
              <w:keepNext w:val="0"/>
              <w:keepLines w:val="0"/>
              <w:widowControl/>
              <w:suppressLineNumbers w:val="0"/>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eastAsia="宋体" w:cs="Times New Roman"/>
                <w:color w:val="000000"/>
                <w:kern w:val="0"/>
                <w:sz w:val="20"/>
                <w:szCs w:val="20"/>
                <w:lang w:val="en-US" w:eastAsia="zh-CN" w:bidi="ar"/>
              </w:rPr>
              <w:t>≤</w:t>
            </w:r>
            <w:r>
              <w:rPr>
                <w:rFonts w:hint="default" w:ascii="Times New Roman" w:hAnsi="Times New Roman" w:cs="Times New Roman"/>
                <w:sz w:val="21"/>
                <w:szCs w:val="21"/>
                <w:lang w:val="en-US" w:eastAsia="zh-CN"/>
              </w:rPr>
              <w:t>0.50mg/L</w:t>
            </w:r>
          </w:p>
        </w:tc>
        <w:tc>
          <w:tcPr>
            <w:tcW w:w="10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否</w:t>
            </w:r>
          </w:p>
        </w:tc>
      </w:tr>
    </w:tbl>
    <w:p>
      <w:pPr>
        <w:pStyle w:val="2"/>
        <w:outlineLvl w:val="1"/>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7.4地下水污染状况分析</w:t>
      </w:r>
      <w:bookmarkEnd w:id="43"/>
      <w:bookmarkStart w:id="59" w:name="_GoBack"/>
      <w:bookmarkEnd w:id="59"/>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 xml:space="preserve">本次调查共分析 </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宋体"/>
          <w:color w:val="000000"/>
          <w:kern w:val="0"/>
          <w:sz w:val="24"/>
          <w:szCs w:val="24"/>
          <w:lang w:val="en-US" w:eastAsia="zh-CN" w:bidi="ar"/>
        </w:rPr>
        <w:t xml:space="preserve">个地下水样品，包括 </w:t>
      </w:r>
      <w:r>
        <w:rPr>
          <w:rFonts w:hint="eastAsia" w:ascii="Times New Roman" w:hAnsi="Times New Roman" w:eastAsia="宋体" w:cs="Times New Roman"/>
          <w:color w:val="000000"/>
          <w:kern w:val="0"/>
          <w:sz w:val="24"/>
          <w:szCs w:val="24"/>
          <w:lang w:val="en-US" w:eastAsia="zh-CN" w:bidi="ar"/>
        </w:rPr>
        <w:t>4</w:t>
      </w:r>
      <w:r>
        <w:rPr>
          <w:rFonts w:hint="eastAsia" w:ascii="Times New Roman" w:hAnsi="Times New Roman" w:eastAsia="宋体" w:cs="宋体"/>
          <w:color w:val="000000"/>
          <w:kern w:val="0"/>
          <w:sz w:val="24"/>
          <w:szCs w:val="24"/>
          <w:lang w:val="en-US" w:eastAsia="zh-CN" w:bidi="ar"/>
        </w:rPr>
        <w:t xml:space="preserve">个场地内点位和 </w:t>
      </w:r>
      <w:r>
        <w:rPr>
          <w:rFonts w:hint="default" w:ascii="Times New Roman" w:hAnsi="Times New Roman" w:eastAsia="宋体" w:cs="Times New Roman"/>
          <w:color w:val="000000"/>
          <w:kern w:val="0"/>
          <w:sz w:val="24"/>
          <w:szCs w:val="24"/>
          <w:lang w:val="en-US" w:eastAsia="zh-CN" w:bidi="ar"/>
        </w:rPr>
        <w:t xml:space="preserve">1 </w:t>
      </w:r>
      <w:r>
        <w:rPr>
          <w:rFonts w:hint="eastAsia" w:ascii="Times New Roman" w:hAnsi="Times New Roman" w:eastAsia="宋体" w:cs="宋体"/>
          <w:color w:val="000000"/>
          <w:kern w:val="0"/>
          <w:sz w:val="24"/>
          <w:szCs w:val="24"/>
          <w:lang w:val="en-US" w:eastAsia="zh-CN" w:bidi="ar"/>
        </w:rPr>
        <w:t xml:space="preserve">个对照点位。 </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本次场地地下水使用</w:t>
      </w:r>
      <w:r>
        <w:rPr>
          <w:rFonts w:hint="default" w:ascii="Times New Roman" w:hAnsi="Times New Roman" w:eastAsia="宋体" w:cs="Times New Roman"/>
          <w:color w:val="000000"/>
          <w:kern w:val="0"/>
          <w:sz w:val="24"/>
          <w:szCs w:val="24"/>
          <w:lang w:val="en-US" w:eastAsia="zh-CN" w:bidi="ar"/>
        </w:rPr>
        <w:t>GB/T14848-2017</w:t>
      </w:r>
      <w:r>
        <w:rPr>
          <w:rFonts w:hint="eastAsia" w:ascii="Times New Roman" w:hAnsi="Times New Roman"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类进行评价，通过与各自的执行限值比较得知，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（1）感官性状及一般化学指标：</w:t>
      </w:r>
      <w:r>
        <w:rPr>
          <w:rFonts w:hint="eastAsia" w:ascii="Times New Roman" w:hAnsi="Times New Roman" w:eastAsia="宋体" w:cs="宋体"/>
          <w:color w:val="000000"/>
          <w:kern w:val="0"/>
          <w:sz w:val="24"/>
          <w:szCs w:val="24"/>
          <w:highlight w:val="none"/>
          <w:lang w:val="en-US" w:eastAsia="zh-CN" w:bidi="ar"/>
        </w:rPr>
        <w:t>总硬度、</w:t>
      </w:r>
      <w:r>
        <w:rPr>
          <w:rFonts w:hint="default" w:ascii="Times New Roman" w:hAnsi="Times New Roman" w:eastAsia="宋体" w:cs="宋体"/>
          <w:color w:val="000000"/>
          <w:kern w:val="0"/>
          <w:sz w:val="24"/>
          <w:szCs w:val="24"/>
          <w:highlight w:val="none"/>
          <w:lang w:val="en-US" w:eastAsia="zh-CN" w:bidi="ar"/>
        </w:rPr>
        <w:t>氯化物</w:t>
      </w:r>
      <w:r>
        <w:rPr>
          <w:rFonts w:hint="eastAsia" w:ascii="Times New Roman" w:hAnsi="Times New Roman" w:eastAsia="宋体" w:cs="宋体"/>
          <w:color w:val="000000"/>
          <w:kern w:val="0"/>
          <w:sz w:val="24"/>
          <w:szCs w:val="24"/>
          <w:highlight w:val="none"/>
          <w:lang w:val="en-US" w:eastAsia="zh-CN" w:bidi="ar"/>
        </w:rPr>
        <w:t>、铁、铝达《地下水质量标准》（</w:t>
      </w:r>
      <w:r>
        <w:rPr>
          <w:rFonts w:hint="default" w:ascii="Times New Roman" w:hAnsi="Times New Roman" w:eastAsia="宋体" w:cs="宋体"/>
          <w:color w:val="000000"/>
          <w:kern w:val="0"/>
          <w:sz w:val="24"/>
          <w:szCs w:val="24"/>
          <w:highlight w:val="none"/>
          <w:lang w:val="en-US" w:eastAsia="zh-CN" w:bidi="ar"/>
        </w:rPr>
        <w:t>GB/T 14848-2017</w:t>
      </w: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宋体"/>
          <w:color w:val="000000"/>
          <w:kern w:val="0"/>
          <w:sz w:val="24"/>
          <w:szCs w:val="24"/>
          <w:highlight w:val="none"/>
          <w:lang w:val="en-US" w:eastAsia="zh-CN" w:bidi="ar"/>
        </w:rPr>
        <w:t>V</w:t>
      </w:r>
      <w:r>
        <w:rPr>
          <w:rFonts w:hint="eastAsia" w:ascii="Times New Roman" w:hAnsi="Times New Roman" w:eastAsia="宋体" w:cs="宋体"/>
          <w:color w:val="000000"/>
          <w:kern w:val="0"/>
          <w:sz w:val="24"/>
          <w:szCs w:val="24"/>
          <w:highlight w:val="none"/>
          <w:lang w:val="en-US" w:eastAsia="zh-CN" w:bidi="ar"/>
        </w:rPr>
        <w:t>类标准</w:t>
      </w:r>
      <w:r>
        <w:rPr>
          <w:rFonts w:hint="eastAsia" w:ascii="Times New Roman" w:hAnsi="Times New Roman" w:eastAsia="宋体" w:cs="宋体"/>
          <w:color w:val="000000"/>
          <w:kern w:val="0"/>
          <w:sz w:val="24"/>
          <w:szCs w:val="24"/>
          <w:lang w:val="en-US" w:eastAsia="zh-CN" w:bidi="ar"/>
        </w:rPr>
        <w:t>，其余检测结果均符合《地下水质量标准》（</w:t>
      </w:r>
      <w:r>
        <w:rPr>
          <w:rFonts w:hint="default" w:ascii="Times New Roman" w:hAnsi="Times New Roman" w:eastAsia="宋体" w:cs="宋体"/>
          <w:color w:val="000000"/>
          <w:kern w:val="0"/>
          <w:sz w:val="24"/>
          <w:szCs w:val="24"/>
          <w:lang w:val="en-US" w:eastAsia="zh-CN" w:bidi="ar"/>
        </w:rPr>
        <w:t>GB/T 14848-2017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（2）微生物指标：检测结果均符合《地下水质量标准》（</w:t>
      </w:r>
      <w:r>
        <w:rPr>
          <w:rFonts w:hint="default" w:ascii="Times New Roman" w:hAnsi="Times New Roman" w:eastAsia="宋体" w:cs="宋体"/>
          <w:color w:val="000000"/>
          <w:kern w:val="0"/>
          <w:sz w:val="24"/>
          <w:szCs w:val="24"/>
          <w:lang w:val="en-US" w:eastAsia="zh-CN" w:bidi="ar"/>
        </w:rPr>
        <w:t>GB/T 14848-2017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（3）毒理学指标：</w:t>
      </w:r>
      <w:r>
        <w:rPr>
          <w:rFonts w:hint="eastAsia" w:ascii="Times New Roman" w:hAnsi="Times New Roman" w:eastAsia="宋体" w:cs="宋体"/>
          <w:color w:val="000000"/>
          <w:kern w:val="0"/>
          <w:sz w:val="24"/>
          <w:szCs w:val="24"/>
          <w:highlight w:val="none"/>
          <w:lang w:val="en-US" w:eastAsia="zh-CN" w:bidi="ar"/>
        </w:rPr>
        <w:t>三氯甲烷达《地下水质量标准》（</w:t>
      </w:r>
      <w:r>
        <w:rPr>
          <w:rFonts w:hint="default" w:ascii="Times New Roman" w:hAnsi="Times New Roman" w:eastAsia="宋体" w:cs="宋体"/>
          <w:color w:val="000000"/>
          <w:kern w:val="0"/>
          <w:sz w:val="24"/>
          <w:szCs w:val="24"/>
          <w:highlight w:val="none"/>
          <w:lang w:val="en-US" w:eastAsia="zh-CN" w:bidi="ar"/>
        </w:rPr>
        <w:t>GB/T 14848-2017</w:t>
      </w: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宋体"/>
          <w:color w:val="000000"/>
          <w:kern w:val="0"/>
          <w:sz w:val="24"/>
          <w:szCs w:val="24"/>
          <w:highlight w:val="none"/>
          <w:lang w:val="en-US" w:eastAsia="zh-CN" w:bidi="ar"/>
        </w:rPr>
        <w:t>V</w:t>
      </w:r>
      <w:r>
        <w:rPr>
          <w:rFonts w:hint="eastAsia" w:ascii="Times New Roman" w:hAnsi="Times New Roman" w:eastAsia="宋体" w:cs="宋体"/>
          <w:color w:val="000000"/>
          <w:kern w:val="0"/>
          <w:sz w:val="24"/>
          <w:szCs w:val="24"/>
          <w:highlight w:val="none"/>
          <w:lang w:val="en-US" w:eastAsia="zh-CN" w:bidi="ar"/>
        </w:rPr>
        <w:t>类标准，</w:t>
      </w:r>
      <w:r>
        <w:rPr>
          <w:rFonts w:hint="eastAsia" w:ascii="Times New Roman" w:hAnsi="Times New Roman" w:eastAsia="宋体" w:cs="宋体"/>
          <w:color w:val="000000"/>
          <w:kern w:val="0"/>
          <w:sz w:val="24"/>
          <w:szCs w:val="24"/>
          <w:lang w:val="en-US" w:eastAsia="zh-CN" w:bidi="ar"/>
        </w:rPr>
        <w:t>其余检测结果均符合《地下水质量标准》（</w:t>
      </w:r>
      <w:r>
        <w:rPr>
          <w:rFonts w:hint="default" w:ascii="Times New Roman" w:hAnsi="Times New Roman" w:eastAsia="宋体" w:cs="宋体"/>
          <w:color w:val="000000"/>
          <w:kern w:val="0"/>
          <w:sz w:val="24"/>
          <w:szCs w:val="24"/>
          <w:lang w:val="en-US" w:eastAsia="zh-CN" w:bidi="ar"/>
        </w:rPr>
        <w:t>GB/T 14848-2017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highlight w:val="none"/>
          <w:u w:val="none"/>
          <w:lang w:val="en-US" w:eastAsia="zh-CN" w:bidi="ar"/>
        </w:rPr>
      </w:pPr>
      <w:r>
        <w:rPr>
          <w:rFonts w:hint="eastAsia" w:ascii="Times New Roman" w:hAnsi="Times New Roman" w:eastAsia="宋体" w:cs="宋体"/>
          <w:color w:val="000000"/>
          <w:kern w:val="0"/>
          <w:sz w:val="24"/>
          <w:szCs w:val="24"/>
          <w:highlight w:val="none"/>
          <w:u w:val="none"/>
          <w:lang w:val="en-US" w:eastAsia="zh-CN" w:bidi="ar"/>
        </w:rPr>
        <w:t>分析其原因主要是由于企业地块距离海边较近，该区域地下水水质受海水质量影响较大。</w:t>
      </w: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eastAsia" w:ascii="Times New Roman" w:hAnsi="Times New Roman" w:eastAsia="宋体" w:cs="宋体"/>
          <w:color w:val="000000"/>
          <w:kern w:val="0"/>
          <w:sz w:val="24"/>
          <w:szCs w:val="24"/>
          <w:highlight w:val="none"/>
          <w:u w:val="none"/>
          <w:lang w:val="en-US" w:eastAsia="zh-CN" w:bidi="ar"/>
        </w:rPr>
      </w:pPr>
    </w:p>
    <w:p>
      <w:pPr>
        <w:pStyle w:val="2"/>
        <w:rPr>
          <w:rFonts w:hint="default" w:ascii="Times New Roman" w:hAnsi="Times New Roman" w:eastAsia="宋体" w:cs="宋体"/>
          <w:color w:val="000000"/>
          <w:kern w:val="0"/>
          <w:sz w:val="24"/>
          <w:szCs w:val="24"/>
          <w:highlight w:val="none"/>
          <w:u w:val="none"/>
          <w:lang w:val="en-US" w:eastAsia="zh-CN" w:bidi="ar"/>
        </w:rPr>
      </w:pPr>
    </w:p>
    <w:p>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eastAsia" w:ascii="Times New Roman" w:hAnsi="Times New Roman" w:eastAsia="宋体" w:cs="Times New Roman"/>
          <w:sz w:val="28"/>
          <w:szCs w:val="28"/>
          <w:lang w:val="en-US" w:eastAsia="zh-CN"/>
        </w:rPr>
      </w:pPr>
      <w:bookmarkStart w:id="44" w:name="_Toc4887"/>
      <w:r>
        <w:rPr>
          <w:rFonts w:hint="eastAsia" w:ascii="Times New Roman" w:hAnsi="Times New Roman" w:eastAsia="宋体" w:cs="Times New Roman"/>
          <w:sz w:val="28"/>
          <w:szCs w:val="28"/>
          <w:lang w:val="en-US" w:eastAsia="zh-CN"/>
        </w:rPr>
        <w:t>8结论与措施</w:t>
      </w:r>
      <w:bookmarkEnd w:id="44"/>
    </w:p>
    <w:p>
      <w:pPr>
        <w:pStyle w:val="2"/>
        <w:outlineLvl w:val="1"/>
        <w:rPr>
          <w:rFonts w:hint="eastAsia" w:ascii="Times New Roman" w:hAnsi="Times New Roman" w:eastAsia="宋体" w:cs="Times New Roman"/>
          <w:sz w:val="28"/>
          <w:szCs w:val="28"/>
          <w:lang w:val="en-US" w:eastAsia="zh-CN"/>
        </w:rPr>
      </w:pPr>
      <w:bookmarkStart w:id="45" w:name="_Toc23583"/>
      <w:r>
        <w:rPr>
          <w:rFonts w:hint="eastAsia" w:ascii="Times New Roman" w:hAnsi="Times New Roman" w:eastAsia="宋体" w:cs="Times New Roman"/>
          <w:sz w:val="28"/>
          <w:szCs w:val="28"/>
          <w:lang w:val="en-US" w:eastAsia="zh-CN"/>
        </w:rPr>
        <w:t>8.1监测结论</w:t>
      </w:r>
      <w:bookmarkEnd w:id="45"/>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lang w:val="en-US" w:eastAsia="zh-CN" w:bidi="ar"/>
        </w:rPr>
        <w:t>由此次土壤环境自行监测，得出以下结论：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highlight w:val="none"/>
          <w:u w:val="none"/>
        </w:rPr>
      </w:pPr>
      <w:r>
        <w:rPr>
          <w:rFonts w:hint="eastAsia" w:ascii="Times New Roman" w:hAnsi="Times New Roman" w:eastAsia="宋体" w:cs="宋体"/>
          <w:b/>
          <w:color w:val="000000"/>
          <w:kern w:val="0"/>
          <w:sz w:val="24"/>
          <w:szCs w:val="24"/>
          <w:highlight w:val="none"/>
          <w:u w:val="none"/>
          <w:lang w:val="en-US" w:eastAsia="zh-CN" w:bidi="ar"/>
        </w:rPr>
        <w:t xml:space="preserve">场地土壤：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rPr>
      </w:pPr>
      <w:r>
        <w:rPr>
          <w:rFonts w:hint="eastAsia" w:ascii="Times New Roman" w:hAnsi="Times New Roman" w:eastAsia="宋体" w:cs="宋体"/>
          <w:color w:val="000000"/>
          <w:kern w:val="0"/>
          <w:sz w:val="24"/>
          <w:szCs w:val="24"/>
          <w:highlight w:val="none"/>
          <w:lang w:val="en-US" w:eastAsia="zh-CN" w:bidi="ar"/>
        </w:rPr>
        <w:t>送检18个土壤样品，</w:t>
      </w:r>
      <w:r>
        <w:rPr>
          <w:rFonts w:hint="eastAsia" w:ascii="Times New Roman" w:hAnsi="Times New Roman" w:eastAsia="宋体" w:cs="宋体"/>
          <w:color w:val="000000"/>
          <w:kern w:val="0"/>
          <w:sz w:val="24"/>
          <w:szCs w:val="24"/>
          <w:lang w:val="en-US" w:eastAsia="zh-CN" w:bidi="ar"/>
        </w:rPr>
        <w:t>场地内和对照点砷、镉、铜、铅、汞、镍检出，检出值满足《土壤环境质量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 36600-2018</w:t>
      </w:r>
      <w:r>
        <w:rPr>
          <w:rFonts w:hint="eastAsia" w:ascii="Times New Roman" w:hAnsi="Times New Roman" w:eastAsia="宋体" w:cs="宋体"/>
          <w:color w:val="000000"/>
          <w:kern w:val="0"/>
          <w:sz w:val="24"/>
          <w:szCs w:val="24"/>
          <w:lang w:val="en-US" w:eastAsia="zh-CN" w:bidi="ar"/>
        </w:rPr>
        <w:t xml:space="preserve">）表1中第二类用地的筛选值；六价铬未检出，检出限均小于筛选值，说明检测指标符合评价标准。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highlight w:val="none"/>
          <w:u w:val="none"/>
        </w:rPr>
      </w:pPr>
      <w:r>
        <w:rPr>
          <w:rFonts w:hint="eastAsia" w:ascii="Times New Roman" w:hAnsi="Times New Roman" w:eastAsia="宋体" w:cs="宋体"/>
          <w:color w:val="000000"/>
          <w:kern w:val="0"/>
          <w:sz w:val="24"/>
          <w:szCs w:val="24"/>
          <w:lang w:val="en-US" w:eastAsia="zh-CN" w:bidi="ar"/>
        </w:rPr>
        <w:t>场地内和对照点二氯甲烷、氯仿、四氯乙烯、总石油烃检出，检出值满足《土壤环境质量 建设用地土壤污染风险管控标准（试行）（</w:t>
      </w:r>
      <w:r>
        <w:rPr>
          <w:rFonts w:hint="default" w:ascii="Times New Roman" w:hAnsi="Times New Roman" w:eastAsia="宋体" w:cs="Times New Roman"/>
          <w:color w:val="000000"/>
          <w:kern w:val="0"/>
          <w:sz w:val="24"/>
          <w:szCs w:val="24"/>
          <w:lang w:val="en-US" w:eastAsia="zh-CN" w:bidi="ar"/>
        </w:rPr>
        <w:t>GB 36600-2018</w:t>
      </w:r>
      <w:r>
        <w:rPr>
          <w:rFonts w:hint="eastAsia" w:ascii="Times New Roman" w:hAnsi="Times New Roman" w:eastAsia="宋体" w:cs="宋体"/>
          <w:color w:val="000000"/>
          <w:kern w:val="0"/>
          <w:sz w:val="24"/>
          <w:szCs w:val="24"/>
          <w:lang w:val="en-US" w:eastAsia="zh-CN" w:bidi="ar"/>
        </w:rPr>
        <w:t>）表1中第二类用地的筛选值；其余均未检出，检出限均小于筛选值，说明检测指标符合评价标准</w:t>
      </w:r>
      <w:r>
        <w:rPr>
          <w:rFonts w:hint="eastAsia" w:ascii="Times New Roman" w:hAnsi="Times New Roman" w:eastAsia="宋体" w:cs="宋体"/>
          <w:color w:val="000000"/>
          <w:kern w:val="0"/>
          <w:sz w:val="24"/>
          <w:szCs w:val="24"/>
          <w:highlight w:val="none"/>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ascii="Times New Roman" w:hAnsi="Times New Roman" w:eastAsia="宋体"/>
          <w:highlight w:val="none"/>
          <w:u w:val="none"/>
        </w:rPr>
      </w:pPr>
      <w:r>
        <w:rPr>
          <w:rFonts w:hint="eastAsia" w:ascii="Times New Roman" w:hAnsi="Times New Roman" w:eastAsia="宋体" w:cs="宋体"/>
          <w:b/>
          <w:color w:val="000000"/>
          <w:kern w:val="0"/>
          <w:sz w:val="24"/>
          <w:szCs w:val="24"/>
          <w:highlight w:val="none"/>
          <w:u w:val="none"/>
          <w:lang w:val="en-US" w:eastAsia="zh-CN" w:bidi="ar"/>
        </w:rPr>
        <w:t xml:space="preserve">场地内地下水：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本次场地地下水使用</w:t>
      </w:r>
      <w:r>
        <w:rPr>
          <w:rFonts w:hint="default" w:ascii="Times New Roman" w:hAnsi="Times New Roman" w:eastAsia="宋体" w:cs="Times New Roman"/>
          <w:color w:val="000000"/>
          <w:kern w:val="0"/>
          <w:sz w:val="24"/>
          <w:szCs w:val="24"/>
          <w:lang w:val="en-US" w:eastAsia="zh-CN" w:bidi="ar"/>
        </w:rPr>
        <w:t>GB/T14848-2017</w:t>
      </w:r>
      <w:r>
        <w:rPr>
          <w:rFonts w:hint="eastAsia" w:ascii="Times New Roman" w:hAnsi="Times New Roman"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类进行评价，通过与各自的执行限值比较得知，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（1）感官性状及一般化学指标：</w:t>
      </w:r>
      <w:r>
        <w:rPr>
          <w:rFonts w:hint="eastAsia" w:ascii="Times New Roman" w:hAnsi="Times New Roman" w:eastAsia="宋体" w:cs="宋体"/>
          <w:color w:val="000000"/>
          <w:kern w:val="0"/>
          <w:sz w:val="24"/>
          <w:szCs w:val="24"/>
          <w:highlight w:val="none"/>
          <w:lang w:val="en-US" w:eastAsia="zh-CN" w:bidi="ar"/>
        </w:rPr>
        <w:t>总硬度、</w:t>
      </w:r>
      <w:r>
        <w:rPr>
          <w:rFonts w:hint="default" w:ascii="Times New Roman" w:hAnsi="Times New Roman" w:eastAsia="宋体" w:cs="宋体"/>
          <w:color w:val="000000"/>
          <w:kern w:val="0"/>
          <w:sz w:val="24"/>
          <w:szCs w:val="24"/>
          <w:highlight w:val="none"/>
          <w:lang w:val="en-US" w:eastAsia="zh-CN" w:bidi="ar"/>
        </w:rPr>
        <w:t>氯化物</w:t>
      </w:r>
      <w:r>
        <w:rPr>
          <w:rFonts w:hint="eastAsia" w:ascii="Times New Roman" w:hAnsi="Times New Roman" w:eastAsia="宋体" w:cs="宋体"/>
          <w:color w:val="000000"/>
          <w:kern w:val="0"/>
          <w:sz w:val="24"/>
          <w:szCs w:val="24"/>
          <w:highlight w:val="none"/>
          <w:lang w:val="en-US" w:eastAsia="zh-CN" w:bidi="ar"/>
        </w:rPr>
        <w:t>、铁、铝达《地下水质量标准》（</w:t>
      </w:r>
      <w:r>
        <w:rPr>
          <w:rFonts w:hint="default" w:ascii="Times New Roman" w:hAnsi="Times New Roman" w:eastAsia="宋体" w:cs="宋体"/>
          <w:color w:val="000000"/>
          <w:kern w:val="0"/>
          <w:sz w:val="24"/>
          <w:szCs w:val="24"/>
          <w:highlight w:val="none"/>
          <w:lang w:val="en-US" w:eastAsia="zh-CN" w:bidi="ar"/>
        </w:rPr>
        <w:t>GB/T 14848-2017</w:t>
      </w: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宋体"/>
          <w:color w:val="000000"/>
          <w:kern w:val="0"/>
          <w:sz w:val="24"/>
          <w:szCs w:val="24"/>
          <w:highlight w:val="none"/>
          <w:lang w:val="en-US" w:eastAsia="zh-CN" w:bidi="ar"/>
        </w:rPr>
        <w:t>V</w:t>
      </w:r>
      <w:r>
        <w:rPr>
          <w:rFonts w:hint="eastAsia" w:ascii="Times New Roman" w:hAnsi="Times New Roman" w:eastAsia="宋体" w:cs="宋体"/>
          <w:color w:val="000000"/>
          <w:kern w:val="0"/>
          <w:sz w:val="24"/>
          <w:szCs w:val="24"/>
          <w:highlight w:val="none"/>
          <w:lang w:val="en-US" w:eastAsia="zh-CN" w:bidi="ar"/>
        </w:rPr>
        <w:t>类标准</w:t>
      </w:r>
      <w:r>
        <w:rPr>
          <w:rFonts w:hint="eastAsia" w:ascii="Times New Roman" w:hAnsi="Times New Roman" w:eastAsia="宋体" w:cs="宋体"/>
          <w:color w:val="000000"/>
          <w:kern w:val="0"/>
          <w:sz w:val="24"/>
          <w:szCs w:val="24"/>
          <w:lang w:val="en-US" w:eastAsia="zh-CN" w:bidi="ar"/>
        </w:rPr>
        <w:t>，其余检测结果均符合《地下水质量标准》（</w:t>
      </w:r>
      <w:r>
        <w:rPr>
          <w:rFonts w:hint="default" w:ascii="Times New Roman" w:hAnsi="Times New Roman" w:eastAsia="宋体" w:cs="宋体"/>
          <w:color w:val="000000"/>
          <w:kern w:val="0"/>
          <w:sz w:val="24"/>
          <w:szCs w:val="24"/>
          <w:lang w:val="en-US" w:eastAsia="zh-CN" w:bidi="ar"/>
        </w:rPr>
        <w:t>GB/T 14848-2017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（2）微生物指标：检测结果均符合《地下水质量标准》（</w:t>
      </w:r>
      <w:r>
        <w:rPr>
          <w:rFonts w:hint="default" w:ascii="Times New Roman" w:hAnsi="Times New Roman" w:eastAsia="宋体" w:cs="宋体"/>
          <w:color w:val="000000"/>
          <w:kern w:val="0"/>
          <w:sz w:val="24"/>
          <w:szCs w:val="24"/>
          <w:lang w:val="en-US" w:eastAsia="zh-CN" w:bidi="ar"/>
        </w:rPr>
        <w:t>GB/T 14848-2017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（3）毒理学指标：</w:t>
      </w:r>
      <w:r>
        <w:rPr>
          <w:rFonts w:hint="eastAsia" w:ascii="Times New Roman" w:hAnsi="Times New Roman" w:eastAsia="宋体" w:cs="宋体"/>
          <w:color w:val="000000"/>
          <w:kern w:val="0"/>
          <w:sz w:val="24"/>
          <w:szCs w:val="24"/>
          <w:highlight w:val="none"/>
          <w:lang w:val="en-US" w:eastAsia="zh-CN" w:bidi="ar"/>
        </w:rPr>
        <w:t>三氯甲烷达《地下水质量标准》（</w:t>
      </w:r>
      <w:r>
        <w:rPr>
          <w:rFonts w:hint="default" w:ascii="Times New Roman" w:hAnsi="Times New Roman" w:eastAsia="宋体" w:cs="宋体"/>
          <w:color w:val="000000"/>
          <w:kern w:val="0"/>
          <w:sz w:val="24"/>
          <w:szCs w:val="24"/>
          <w:highlight w:val="none"/>
          <w:lang w:val="en-US" w:eastAsia="zh-CN" w:bidi="ar"/>
        </w:rPr>
        <w:t>GB/T 14848-2017</w:t>
      </w:r>
      <w:r>
        <w:rPr>
          <w:rFonts w:hint="eastAsia" w:ascii="Times New Roman" w:hAnsi="Times New Roman" w:eastAsia="宋体" w:cs="宋体"/>
          <w:color w:val="000000"/>
          <w:kern w:val="0"/>
          <w:sz w:val="24"/>
          <w:szCs w:val="24"/>
          <w:highlight w:val="none"/>
          <w:lang w:val="en-US" w:eastAsia="zh-CN" w:bidi="ar"/>
        </w:rPr>
        <w:t>）</w:t>
      </w:r>
      <w:r>
        <w:rPr>
          <w:rFonts w:hint="default" w:ascii="Times New Roman" w:hAnsi="Times New Roman" w:eastAsia="宋体" w:cs="宋体"/>
          <w:color w:val="000000"/>
          <w:kern w:val="0"/>
          <w:sz w:val="24"/>
          <w:szCs w:val="24"/>
          <w:highlight w:val="none"/>
          <w:lang w:val="en-US" w:eastAsia="zh-CN" w:bidi="ar"/>
        </w:rPr>
        <w:t>V</w:t>
      </w:r>
      <w:r>
        <w:rPr>
          <w:rFonts w:hint="eastAsia" w:ascii="Times New Roman" w:hAnsi="Times New Roman" w:eastAsia="宋体" w:cs="宋体"/>
          <w:color w:val="000000"/>
          <w:kern w:val="0"/>
          <w:sz w:val="24"/>
          <w:szCs w:val="24"/>
          <w:highlight w:val="none"/>
          <w:lang w:val="en-US" w:eastAsia="zh-CN" w:bidi="ar"/>
        </w:rPr>
        <w:t>类标准，</w:t>
      </w:r>
      <w:r>
        <w:rPr>
          <w:rFonts w:hint="eastAsia" w:ascii="Times New Roman" w:hAnsi="Times New Roman" w:eastAsia="宋体" w:cs="宋体"/>
          <w:color w:val="000000"/>
          <w:kern w:val="0"/>
          <w:sz w:val="24"/>
          <w:szCs w:val="24"/>
          <w:lang w:val="en-US" w:eastAsia="zh-CN" w:bidi="ar"/>
        </w:rPr>
        <w:t>其余检测结果均符合《地下水质量标准》（</w:t>
      </w:r>
      <w:r>
        <w:rPr>
          <w:rFonts w:hint="default" w:ascii="Times New Roman" w:hAnsi="Times New Roman" w:eastAsia="宋体" w:cs="宋体"/>
          <w:color w:val="000000"/>
          <w:kern w:val="0"/>
          <w:sz w:val="24"/>
          <w:szCs w:val="24"/>
          <w:lang w:val="en-US" w:eastAsia="zh-CN" w:bidi="ar"/>
        </w:rPr>
        <w:t>GB/T 14848-2017</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宋体"/>
          <w:color w:val="000000"/>
          <w:kern w:val="0"/>
          <w:sz w:val="24"/>
          <w:szCs w:val="24"/>
          <w:lang w:val="en-US" w:eastAsia="zh-CN" w:bidi="ar"/>
        </w:rPr>
        <w:t>IV</w:t>
      </w:r>
      <w:r>
        <w:rPr>
          <w:rFonts w:hint="eastAsia" w:ascii="Times New Roman" w:hAnsi="Times New Roman"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highlight w:val="none"/>
          <w:u w:val="none"/>
          <w:lang w:val="en-US"/>
        </w:rPr>
      </w:pPr>
      <w:r>
        <w:rPr>
          <w:rFonts w:hint="eastAsia" w:ascii="Times New Roman" w:hAnsi="Times New Roman" w:eastAsia="宋体" w:cs="宋体"/>
          <w:color w:val="000000"/>
          <w:kern w:val="0"/>
          <w:sz w:val="24"/>
          <w:szCs w:val="24"/>
          <w:highlight w:val="none"/>
          <w:u w:val="none"/>
          <w:lang w:val="en-US" w:eastAsia="zh-CN" w:bidi="ar"/>
        </w:rPr>
        <w:t>分析其原因主要是由于企业地块距离海边较近，该区域地下水水质受海水质量影响较大。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highlight w:val="none"/>
          <w:u w:val="none"/>
        </w:rPr>
      </w:pPr>
      <w:r>
        <w:rPr>
          <w:rFonts w:hint="eastAsia" w:ascii="Times New Roman" w:hAnsi="Times New Roman" w:eastAsia="宋体" w:cs="宋体"/>
          <w:color w:val="000000"/>
          <w:kern w:val="0"/>
          <w:sz w:val="24"/>
          <w:szCs w:val="24"/>
          <w:highlight w:val="none"/>
          <w:u w:val="none"/>
          <w:lang w:val="en-US" w:eastAsia="zh-CN" w:bidi="ar"/>
        </w:rPr>
        <w:t xml:space="preserve">综上所述，本次自行监测结果表明目前场地土壤环境质量处于正常水平，暂 </w:t>
      </w:r>
    </w:p>
    <w:p>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宋体"/>
          <w:color w:val="000000"/>
          <w:kern w:val="0"/>
          <w:sz w:val="24"/>
          <w:szCs w:val="24"/>
          <w:highlight w:val="none"/>
          <w:u w:val="none"/>
          <w:lang w:val="en-US" w:eastAsia="zh-CN" w:bidi="ar"/>
        </w:rPr>
        <w:t>时不存在污染迹象。</w:t>
      </w:r>
    </w:p>
    <w:p>
      <w:pPr>
        <w:pStyle w:val="2"/>
        <w:outlineLvl w:val="1"/>
        <w:rPr>
          <w:rFonts w:hint="eastAsia" w:ascii="Times New Roman" w:hAnsi="Times New Roman" w:eastAsia="宋体" w:cs="Times New Roman"/>
          <w:sz w:val="28"/>
          <w:szCs w:val="28"/>
          <w:lang w:val="en-US" w:eastAsia="zh-CN"/>
        </w:rPr>
      </w:pPr>
      <w:bookmarkStart w:id="46" w:name="_Toc11694"/>
      <w:r>
        <w:rPr>
          <w:rFonts w:hint="eastAsia" w:ascii="Times New Roman" w:hAnsi="Times New Roman" w:eastAsia="宋体" w:cs="Times New Roman"/>
          <w:sz w:val="28"/>
          <w:szCs w:val="28"/>
          <w:lang w:val="en-US" w:eastAsia="zh-CN"/>
        </w:rPr>
        <w:t>8.2企业针对监测结果拟选取的主要措施及选取原因</w:t>
      </w:r>
      <w:bookmarkEnd w:id="46"/>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1、关注地下水三氯甲烷尤其是固废仓库周边地下水的水质情况，做好地面防渗防泄漏等措施，定期对地下水进行监测</w:t>
      </w:r>
      <w:r>
        <w:rPr>
          <w:rFonts w:hint="eastAsia" w:ascii="Times New Roman" w:hAnsi="Times New Roman" w:eastAsia="宋体" w:cs="Times New Roman"/>
          <w:sz w:val="21"/>
          <w:szCs w:val="21"/>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2、企业应当建立土壤污染风险排查治理制度，定期对重点区域、重点设施开展隐患排查。发现污染隐患的，应当制定整改方案，及时采取技术、管理措施消除隐患、隐患排查、治理情况应当如实记录并建立档案。针对土壤污染隐患排查结果，制定具有针对性的整改方案。总体上，企业应在日常监管、定期巡视检查、重点设施设备自动检测及渗漏检测等方面进行改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3、后期在环境监测等活动中发现土壤存在污染迹象的，应当排查污染源，查明污染原因，采取措施防止新增污染，并参照污染地块土壤环境管理有关规定及时开展土壤调查与风险评估，根据调查与风险评估结果采取风险管控或者治理与修复等措施。</w:t>
      </w: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eastAsia" w:ascii="Times New Roman" w:hAnsi="Times New Roman" w:eastAsia="宋体" w:cs="宋体"/>
          <w:color w:val="000000"/>
          <w:kern w:val="0"/>
          <w:sz w:val="24"/>
          <w:szCs w:val="24"/>
          <w:lang w:val="en-US" w:eastAsia="zh-CN" w:bidi="ar"/>
        </w:rPr>
      </w:pPr>
    </w:p>
    <w:p>
      <w:pPr>
        <w:pStyle w:val="2"/>
        <w:rPr>
          <w:rFonts w:hint="default" w:ascii="Times New Roman" w:hAnsi="Times New Roman" w:eastAsia="宋体" w:cs="宋体"/>
          <w:color w:val="000000"/>
          <w:kern w:val="0"/>
          <w:sz w:val="24"/>
          <w:szCs w:val="24"/>
          <w:lang w:val="en-US" w:eastAsia="zh-CN" w:bidi="ar"/>
        </w:rPr>
      </w:pPr>
    </w:p>
    <w:p>
      <w:pPr>
        <w:pStyle w:val="4"/>
        <w:keepNext/>
        <w:keepLines/>
        <w:pageBreakBefore w:val="0"/>
        <w:widowControl w:val="0"/>
        <w:kinsoku/>
        <w:wordWrap/>
        <w:overflowPunct/>
        <w:topLinePunct w:val="0"/>
        <w:autoSpaceDE/>
        <w:autoSpaceDN/>
        <w:bidi w:val="0"/>
        <w:adjustRightInd/>
        <w:snapToGrid/>
        <w:spacing w:before="0" w:after="20" w:line="360" w:lineRule="auto"/>
        <w:textAlignment w:val="auto"/>
        <w:outlineLvl w:val="0"/>
        <w:rPr>
          <w:rFonts w:hint="eastAsia" w:ascii="Times New Roman" w:hAnsi="Times New Roman" w:eastAsia="宋体" w:cs="Times New Roman"/>
          <w:sz w:val="28"/>
          <w:szCs w:val="28"/>
          <w:lang w:val="en-US" w:eastAsia="zh-CN"/>
        </w:rPr>
      </w:pPr>
      <w:bookmarkStart w:id="47" w:name="_Toc20599"/>
      <w:r>
        <w:rPr>
          <w:rFonts w:hint="eastAsia" w:ascii="Times New Roman" w:hAnsi="Times New Roman" w:eastAsia="宋体" w:cs="Times New Roman"/>
          <w:sz w:val="28"/>
          <w:szCs w:val="28"/>
          <w:lang w:val="en-US" w:eastAsia="zh-CN"/>
        </w:rPr>
        <w:t>9</w:t>
      </w:r>
      <w:r>
        <w:rPr>
          <w:rFonts w:hint="eastAsia" w:ascii="Times New Roman" w:hAnsi="Times New Roman" w:eastAsia="宋体" w:cs="Times New Roman"/>
          <w:sz w:val="28"/>
          <w:szCs w:val="28"/>
          <w:highlight w:val="none"/>
          <w:lang w:val="en-US" w:eastAsia="zh-CN"/>
        </w:rPr>
        <w:t>质量保证与质量控制</w:t>
      </w:r>
      <w:bookmarkEnd w:id="47"/>
    </w:p>
    <w:p>
      <w:pPr>
        <w:pStyle w:val="2"/>
        <w:outlineLvl w:val="1"/>
        <w:rPr>
          <w:rFonts w:hint="eastAsia" w:ascii="Times New Roman" w:hAnsi="Times New Roman" w:eastAsia="宋体" w:cs="Times New Roman"/>
          <w:sz w:val="28"/>
          <w:szCs w:val="28"/>
          <w:lang w:val="en-US" w:eastAsia="zh-CN"/>
        </w:rPr>
      </w:pPr>
      <w:bookmarkStart w:id="48" w:name="_Toc2411"/>
      <w:r>
        <w:rPr>
          <w:rFonts w:hint="eastAsia" w:ascii="Times New Roman" w:hAnsi="Times New Roman" w:eastAsia="宋体" w:cs="Times New Roman"/>
          <w:sz w:val="28"/>
          <w:szCs w:val="28"/>
          <w:lang w:val="en-US" w:eastAsia="zh-CN"/>
        </w:rPr>
        <w:t>9.1监测机构</w:t>
      </w:r>
      <w:bookmarkEnd w:id="48"/>
    </w:p>
    <w:p>
      <w:pPr>
        <w:pStyle w:val="2"/>
        <w:ind w:firstLine="480" w:firstLineChars="200"/>
        <w:outlineLvl w:val="9"/>
        <w:rPr>
          <w:rFonts w:hint="default"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本次检验检测机构资质认定证书见下图。</w:t>
      </w:r>
    </w:p>
    <w:p>
      <w:pPr>
        <w:pStyle w:val="2"/>
        <w:rPr>
          <w:rFonts w:hint="eastAsia" w:ascii="Times New Roman" w:hAnsi="Times New Roman" w:eastAsia="宋体"/>
          <w:kern w:val="0"/>
          <w:sz w:val="24"/>
          <w:lang w:eastAsia="zh-CN"/>
        </w:rPr>
      </w:pPr>
      <w:r>
        <w:rPr>
          <w:rFonts w:hint="eastAsia" w:ascii="Times New Roman" w:hAnsi="Times New Roman" w:eastAsia="宋体"/>
          <w:kern w:val="0"/>
          <w:sz w:val="24"/>
          <w:lang w:eastAsia="zh-CN"/>
        </w:rPr>
        <w:drawing>
          <wp:inline distT="0" distB="0" distL="114300" distR="114300">
            <wp:extent cx="5269230" cy="7419975"/>
            <wp:effectExtent l="0" t="0" r="7620" b="9525"/>
            <wp:docPr id="3" name="图片 3" descr="微信图片_2021072313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723132801"/>
                    <pic:cNvPicPr>
                      <a:picLocks noChangeAspect="1"/>
                    </pic:cNvPicPr>
                  </pic:nvPicPr>
                  <pic:blipFill>
                    <a:blip r:embed="rId35"/>
                    <a:stretch>
                      <a:fillRect/>
                    </a:stretch>
                  </pic:blipFill>
                  <pic:spPr>
                    <a:xfrm>
                      <a:off x="0" y="0"/>
                      <a:ext cx="5269230" cy="7419975"/>
                    </a:xfrm>
                    <a:prstGeom prst="rect">
                      <a:avLst/>
                    </a:prstGeom>
                  </pic:spPr>
                </pic:pic>
              </a:graphicData>
            </a:graphic>
          </wp:inline>
        </w:drawing>
      </w:r>
    </w:p>
    <w:p>
      <w:pPr>
        <w:pStyle w:val="2"/>
        <w:jc w:val="center"/>
        <w:rPr>
          <w:rFonts w:hint="eastAsia" w:ascii="Times New Roman" w:hAnsi="Times New Roman" w:eastAsia="宋体" w:cs="宋体"/>
          <w:b/>
          <w:bCs/>
          <w:kern w:val="0"/>
          <w:sz w:val="24"/>
          <w:lang w:val="en-US" w:eastAsia="zh-CN"/>
        </w:rPr>
      </w:pPr>
      <w:r>
        <w:rPr>
          <w:rFonts w:hint="eastAsia" w:ascii="Times New Roman" w:hAnsi="Times New Roman" w:eastAsia="宋体" w:cs="宋体"/>
          <w:b/>
          <w:bCs/>
          <w:kern w:val="0"/>
          <w:sz w:val="24"/>
          <w:lang w:val="en-US" w:eastAsia="zh-CN"/>
        </w:rPr>
        <w:t>图9.1 资质证书</w:t>
      </w:r>
    </w:p>
    <w:p>
      <w:pPr>
        <w:pStyle w:val="2"/>
        <w:outlineLvl w:val="1"/>
        <w:rPr>
          <w:rFonts w:hint="eastAsia" w:ascii="Times New Roman" w:hAnsi="Times New Roman" w:eastAsia="宋体" w:cs="Times New Roman"/>
          <w:sz w:val="28"/>
          <w:szCs w:val="28"/>
          <w:lang w:val="en-US" w:eastAsia="zh-CN"/>
        </w:rPr>
      </w:pPr>
      <w:bookmarkStart w:id="49" w:name="_Toc919"/>
      <w:r>
        <w:rPr>
          <w:rFonts w:hint="eastAsia" w:ascii="Times New Roman" w:hAnsi="Times New Roman" w:eastAsia="宋体" w:cs="Times New Roman"/>
          <w:sz w:val="28"/>
          <w:szCs w:val="28"/>
          <w:lang w:val="en-US" w:eastAsia="zh-CN"/>
        </w:rPr>
        <w:t>9.2监测人员</w:t>
      </w:r>
      <w:bookmarkEnd w:id="49"/>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项目检测单位为江苏迈斯特环境检测有限公司。参加本次检测现场采样负责人、项目负责人，均经国家或省厅考核合格并持证上岗。</w:t>
      </w:r>
    </w:p>
    <w:p>
      <w:pPr>
        <w:pStyle w:val="2"/>
        <w:outlineLvl w:val="1"/>
        <w:rPr>
          <w:rFonts w:hint="eastAsia" w:ascii="Times New Roman" w:hAnsi="Times New Roman" w:eastAsia="宋体" w:cs="Times New Roman"/>
          <w:sz w:val="28"/>
          <w:szCs w:val="28"/>
          <w:lang w:val="en-US" w:eastAsia="zh-CN"/>
        </w:rPr>
      </w:pPr>
      <w:bookmarkStart w:id="50" w:name="_Toc19243"/>
      <w:r>
        <w:rPr>
          <w:rFonts w:hint="eastAsia" w:ascii="Times New Roman" w:hAnsi="Times New Roman" w:eastAsia="宋体" w:cs="Times New Roman"/>
          <w:sz w:val="28"/>
          <w:szCs w:val="28"/>
          <w:lang w:val="en-US" w:eastAsia="zh-CN"/>
        </w:rPr>
        <w:t>9.3监测方案制定的质量保证与控制</w:t>
      </w:r>
      <w:bookmarkEnd w:id="50"/>
    </w:p>
    <w:p>
      <w:pPr>
        <w:spacing w:line="360" w:lineRule="auto"/>
        <w:outlineLvl w:val="9"/>
        <w:rPr>
          <w:rFonts w:ascii="Times New Roman" w:hAnsi="Times New Roman" w:eastAsia="宋体" w:cs="Times New Roman"/>
          <w:sz w:val="28"/>
          <w:szCs w:val="28"/>
        </w:rPr>
      </w:pPr>
      <w:r>
        <w:rPr>
          <w:rFonts w:hint="eastAsia" w:ascii="Times New Roman" w:hAnsi="Times New Roman" w:eastAsia="宋体" w:cs="Times New Roman"/>
          <w:sz w:val="28"/>
          <w:szCs w:val="28"/>
          <w:lang w:val="en-US" w:eastAsia="zh-CN"/>
        </w:rPr>
        <w:t>9</w:t>
      </w:r>
      <w:r>
        <w:rPr>
          <w:rFonts w:ascii="Times New Roman" w:hAnsi="Times New Roman" w:eastAsia="宋体" w:cs="Times New Roman"/>
          <w:sz w:val="28"/>
          <w:szCs w:val="28"/>
        </w:rPr>
        <w:t>.</w:t>
      </w:r>
      <w:r>
        <w:rPr>
          <w:rFonts w:hint="eastAsia" w:ascii="Times New Roman" w:hAnsi="Times New Roman" w:eastAsia="宋体" w:cs="Times New Roman"/>
          <w:sz w:val="28"/>
          <w:szCs w:val="28"/>
          <w:lang w:val="en-US" w:eastAsia="zh-CN"/>
        </w:rPr>
        <w:t>3.</w:t>
      </w:r>
      <w:r>
        <w:rPr>
          <w:rFonts w:ascii="Times New Roman" w:hAnsi="Times New Roman" w:eastAsia="宋体" w:cs="Times New Roman"/>
          <w:sz w:val="28"/>
          <w:szCs w:val="28"/>
        </w:rPr>
        <w:t>1现场采样质量控制</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根据分析项目准备相关物品，包括采样工具、器材、文具及安全防护用品等， 具体如下：</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①工具类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铁铲、铁镐、土铲、土钻、不锈钢药勺、竹刀、地表水采样器、 底泥采样器等。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②器材类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GPS 定位仪、数码相机、卷尺、样品袋、 棕色玻璃瓶、保温箱、铝箔纸、手套等以及其他特殊仪器和化学试剂。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③文具类</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样品标签、记录表格、文具夹、中性笔等小型用品。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④安全防护用品</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手套、工作服、雨衣、安全帽、防砸鞋、常用药品等。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⑤设备、耗材清洗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 xml:space="preserve">根据本次检测的项目，对所有与样品直接接触的器皿，土壤样品采取措施保证其洁净度，避免造成污染或干扰。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本项目场地中可能存在有机与重金属污染区域，因此可以借助光离子探测器 （PID）对土壤VOCs和SVOCs污染情况进行初步判断。选取扰动土壤样品时， 使用统一的塑料袋进行采集和封装；及时对采集的扰动样用规定使用的标签进行 标识；标签应按规定放置，严禁标签与扰动样混装；在采集污染物分析样品时， 为确保取土质量，每个采样点位的土壤样品专用一个土壤采样器。在采样过程中， 为了避免交叉污染，对采样设备采用一用一备方式。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用于VOCs 分析的样品用非扰动取样器装入40mL棕色玻璃瓶，用于重金属、 SVOCs分析的样品装入250mL的棕色玻璃瓶中，瓶口用密封胶密封，样品放入装有干冰的样品箱中，在 4℃条件下保存。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制样将按规范进行。为严格防止交叉污染，专业人员需再一次戴上新的一次性的无污染手术用橡胶手套，对已确定需送检的密闭土壤样品，人工按制样规范 将土壤样品装入样品瓶中，贴上标签纸，写上样品名称、编号和采样日期等参数。 样品瓶由负责样品检测单位的实验室提供。装入土壤样品的样品瓶，需立即放置到冷藏箱中，低温保存。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样品制备完成后在24小时内送至实验室分析。样品装运前核对采样记录表、 样品标签等，如有缺漏项和错误处，将及时补齐和修正后方可装运。样品运输过 程中严防损失、混淆或玷污。样品送到实验室后，采样人员和实验室样品管理员 双方同时清点核实样品，并在样品流转单上签字确认。  </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样品被采集后将被放在专用的冷藏箱内，在送到实验室分析以前将被严格密 封。为使采集的水样具有代表性，按照《场地环境监测技术导则》（HJ 25.2—2014）要求设置监测井，并用贝勒管多次洗井。洗井后静止一段时间，当抽出水各项现场水质监测参数（pH、电导率、溶解氧、水温、氧化还原电位、浊度）到达稳定后进行水样采集。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样品采集后，及时放于装有冰冻蓝冰的低温保温箱中。所有地下水样品装样 时均应避免产生气泡并尽量将容器装满（消除顶空）。重金属样品装入500 mL 塑料瓶中；VOCs地下水样品装于预先放有盐酸保护溶剂的400 mL棕色玻璃瓶 中，用具聚四氟乙烯密封垫瓶盖盖紧，再用聚四氟乙烯膜密封</w:t>
      </w:r>
      <w:r>
        <w:rPr>
          <w:rFonts w:ascii="Times New Roman" w:hAnsi="Times New Roman" w:eastAsia="宋体" w:cs="Times New Roman"/>
          <w:sz w:val="24"/>
          <w:szCs w:val="24"/>
        </w:rPr>
        <w:t>。</w:t>
      </w:r>
    </w:p>
    <w:p>
      <w:pPr>
        <w:spacing w:line="360" w:lineRule="auto"/>
        <w:outlineLvl w:val="9"/>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9.3.2土壤采样注意事项</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样品被采样设备带上地面后，按照分析项目的需求，使用竹刀将样品分装到 指定的容器中，然后进行密封，再用封口膜进行最后的封装。封装完成后，在每个样品容器外壁上贴上采样标签，再将样品裹上气泡膜，放入现场冷藏保温箱中进行保存，并避免交叉污染。同时在采样原始记录上如实记录采样编号、样品深度、采样地点、经纬度、外观特性、质地等相关信息，做到记录与标签编号统一。</w:t>
      </w:r>
    </w:p>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 xml:space="preserve">采样过程中，采样员不得有影响采样质量的行为，如使用化妆品，在采样、样品分装及样品密封现场吸烟等。汽车应停放在监测点下风向50m处。 </w:t>
      </w:r>
    </w:p>
    <w:p>
      <w:pPr>
        <w:numPr>
          <w:ilvl w:val="0"/>
          <w:numId w:val="0"/>
        </w:numPr>
        <w:spacing w:line="360" w:lineRule="auto"/>
        <w:ind w:lef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统一监测点应有两人以上进行采样，注意采样安全，采样过程要相</w:t>
      </w:r>
      <w:r>
        <w:rPr>
          <w:rFonts w:hint="eastAsia" w:ascii="Times New Roman" w:hAnsi="Times New Roman" w:eastAsia="宋体" w:cs="Times New Roman"/>
          <w:sz w:val="24"/>
          <w:szCs w:val="24"/>
          <w:lang w:val="en-US" w:eastAsia="zh-CN"/>
        </w:rPr>
        <w:t>互</w:t>
      </w:r>
      <w:r>
        <w:rPr>
          <w:rFonts w:hint="default" w:ascii="Times New Roman" w:hAnsi="Times New Roman" w:eastAsia="宋体" w:cs="Times New Roman"/>
          <w:sz w:val="24"/>
          <w:szCs w:val="24"/>
          <w:lang w:val="en-US" w:eastAsia="zh-CN"/>
        </w:rPr>
        <w:t xml:space="preserve">监督，防止意外事故的发生。 </w:t>
      </w:r>
    </w:p>
    <w:p>
      <w:pPr>
        <w:numPr>
          <w:ilvl w:val="0"/>
          <w:numId w:val="0"/>
        </w:numPr>
        <w:spacing w:line="360" w:lineRule="auto"/>
        <w:ind w:leftChars="0"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采样结束装运前应在现场逐项逐个检查，如采样记录表、样品登记表、样品标签、采样点位图标记等有缺项、漏项和错误处，应及时补齐和修正后方可装箱， 撤离现场。样品在运输中派专人押送，严防样品的损失、混淆、沾污和破损。所 有样品低温保存，对光敏感的样品应有避光外包装。按时将样品送至实验室，送 样者和接样者双方同时清点核实样品，并在样品交接单上签字确认</w:t>
      </w:r>
      <w:r>
        <w:rPr>
          <w:rFonts w:hint="eastAsia" w:ascii="Times New Roman" w:hAnsi="Times New Roman" w:eastAsia="宋体" w:cs="Times New Roman"/>
          <w:sz w:val="24"/>
          <w:szCs w:val="24"/>
          <w:lang w:val="en-US" w:eastAsia="zh-CN"/>
        </w:rPr>
        <w:t>。</w:t>
      </w:r>
    </w:p>
    <w:p>
      <w:pPr>
        <w:pStyle w:val="2"/>
        <w:outlineLvl w:val="9"/>
        <w:rPr>
          <w:rFonts w:hint="eastAsia" w:ascii="Times New Roman" w:hAnsi="Times New Roman" w:eastAsia="宋体" w:cs="Times New Roman"/>
          <w:b w:val="0"/>
          <w:bCs w:val="0"/>
          <w:kern w:val="2"/>
          <w:sz w:val="28"/>
          <w:szCs w:val="28"/>
          <w:lang w:val="en-US" w:eastAsia="zh-CN" w:bidi="ar-SA"/>
        </w:rPr>
      </w:pPr>
      <w:r>
        <w:rPr>
          <w:rFonts w:hint="eastAsia" w:ascii="Times New Roman" w:hAnsi="Times New Roman" w:eastAsia="宋体" w:cs="Times New Roman"/>
          <w:b w:val="0"/>
          <w:bCs w:val="0"/>
          <w:kern w:val="2"/>
          <w:sz w:val="28"/>
          <w:szCs w:val="28"/>
          <w:lang w:val="en-US" w:eastAsia="zh-CN" w:bidi="ar-SA"/>
        </w:rPr>
        <w:t>9.3.4地下水采样注意事项</w:t>
      </w:r>
    </w:p>
    <w:p>
      <w:pPr>
        <w:numPr>
          <w:ilvl w:val="0"/>
          <w:numId w:val="0"/>
        </w:numPr>
        <w:spacing w:line="360" w:lineRule="auto"/>
        <w:ind w:lef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理化指标采样前应先用水样荡洗采样器、容器和塞子 2～3 次（油类除外）， 然后再进行取样。采样时的注意事项：a、采样时不可搅动水底的沉积物。b、采集测定溶解氧、生化需氧量和有机污染物的水样时应注满容器，上部不留空间，并采用水封。c、含有可沉降性固体（如泥沙等）的水样，应分离除去沉积物。分离方法为：将所采水样摇均后倒入筒形玻璃容器（如量筒），静置 30min，将已不含沉降性固体但含有悬浮性固体的水样移入采样容器并加入保存剂。测定总悬浮物油类的水样除外。需要分别测定悬浮物和水中所含组分时，应在现场将水样经0.45µm 膜过滤后，分别加入固定剂保存。d、完成现场测定的水样，不能带回实验室供其他指标测定使用由于不同样品的组分、浓度和性质不同，同样的保存条件不能保证适用于所有类型的样品，在采样前应根据样品的性质、组分和环境条件来选择适宜的保存方法和保存剂。样品采集后应尽快测定，水样中的 pH 等指标应在现场测定，其他样品的其余项目的测定也应在规定时间内完成。</w:t>
      </w:r>
    </w:p>
    <w:p>
      <w:pPr>
        <w:numPr>
          <w:ilvl w:val="0"/>
          <w:numId w:val="0"/>
        </w:numPr>
        <w:spacing w:line="360" w:lineRule="auto"/>
        <w:ind w:lef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现场采样时，将纯水带至现场代替样品，采入样品瓶中，按规定加入固定剂， 作为全程序空白样，其测定值应小于方法检出限，或用控制图方法进行控制。当 全程序空白测定值不合格时，应查找原因。</w:t>
      </w:r>
    </w:p>
    <w:p>
      <w:pPr>
        <w:numPr>
          <w:ilvl w:val="0"/>
          <w:numId w:val="0"/>
        </w:numPr>
        <w:spacing w:line="360" w:lineRule="auto"/>
        <w:ind w:lef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每批样品除悬浮物、溶解性总固体、油样品（加采 1 次）外，其余每个项目加采不少于 10%的现场平行样。污染事故、污染纠纷样品加采 100％现场平行样或增加频次分时段连续采样。当每批采集样品数＜3 个时，加采 100％现场平行样。水样采集后应立即送回实验室，根据采样点的地理位置和各项目的最长可保存时间选用适当的运输方式，在现场采样工作开始之前就应安排好运输工作，以防延误。</w:t>
      </w: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default" w:ascii="Times New Roman" w:hAnsi="Times New Roman" w:eastAsia="宋体" w:cs="Times New Roman"/>
          <w:sz w:val="24"/>
          <w:szCs w:val="24"/>
          <w:lang w:val="en-US" w:eastAsia="zh-CN"/>
        </w:rPr>
      </w:pPr>
    </w:p>
    <w:p>
      <w:pPr>
        <w:pStyle w:val="5"/>
        <w:spacing w:line="360" w:lineRule="auto"/>
        <w:rPr>
          <w:rFonts w:hint="eastAsia" w:ascii="Times New Roman" w:hAnsi="Times New Roman" w:eastAsia="宋体" w:cs="Times New Roman"/>
          <w:sz w:val="28"/>
          <w:szCs w:val="28"/>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pPr>
    </w:p>
    <w:p>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ascii="Times New Roman" w:hAnsi="Times New Roman" w:eastAsia="宋体" w:cs="宋体"/>
          <w:color w:val="000000"/>
          <w:kern w:val="0"/>
          <w:sz w:val="24"/>
          <w:szCs w:val="24"/>
          <w:lang w:val="en-US" w:eastAsia="zh-CN" w:bidi="ar"/>
        </w:rPr>
      </w:pPr>
      <w:r>
        <w:rPr>
          <w:rFonts w:hint="eastAsia" w:ascii="Times New Roman" w:hAnsi="Times New Roman" w:eastAsia="宋体" w:cs="Times New Roman"/>
          <w:sz w:val="28"/>
          <w:szCs w:val="28"/>
          <w:lang w:val="en-US" w:eastAsia="zh-CN"/>
        </w:rPr>
        <w:t>9.3.5检测方法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初步确定场地的检测项目，同时在场地调查现场样品采集后利用现场快速检测设备有机挥发检测仪（PID）、XRF检测所采样品中挥发性有机物含量和重金属含量。样品测定方法采用国家标准方法。土壤及地下水样品中的各污染物检测方法及检出限如表9.3-1 所示。</w:t>
      </w:r>
    </w:p>
    <w:p>
      <w:pPr>
        <w:pStyle w:val="2"/>
        <w:jc w:val="center"/>
        <w:rPr>
          <w:rFonts w:hint="default" w:ascii="Times New Roman" w:hAnsi="Times New Roman" w:eastAsia="宋体" w:cs="宋体"/>
          <w:b/>
          <w:bCs/>
          <w:color w:val="000000"/>
          <w:kern w:val="0"/>
          <w:sz w:val="24"/>
          <w:szCs w:val="24"/>
          <w:lang w:val="en-US" w:eastAsia="zh-CN" w:bidi="ar"/>
        </w:rPr>
      </w:pPr>
      <w:r>
        <w:rPr>
          <w:rFonts w:hint="default" w:ascii="Times New Roman" w:hAnsi="Times New Roman" w:eastAsia="宋体" w:cs="宋体"/>
          <w:b/>
          <w:bCs/>
          <w:color w:val="000000"/>
          <w:kern w:val="0"/>
          <w:sz w:val="24"/>
          <w:szCs w:val="24"/>
          <w:lang w:val="en-US" w:eastAsia="zh-CN" w:bidi="ar"/>
        </w:rPr>
        <w:t>表</w:t>
      </w:r>
      <w:r>
        <w:rPr>
          <w:rFonts w:hint="eastAsia" w:ascii="Times New Roman" w:hAnsi="Times New Roman" w:eastAsia="宋体" w:cs="宋体"/>
          <w:b/>
          <w:bCs/>
          <w:color w:val="000000"/>
          <w:kern w:val="0"/>
          <w:sz w:val="24"/>
          <w:szCs w:val="24"/>
          <w:lang w:val="en-US" w:eastAsia="zh-CN" w:bidi="ar"/>
        </w:rPr>
        <w:t>9.3</w:t>
      </w:r>
      <w:r>
        <w:rPr>
          <w:rFonts w:hint="default" w:ascii="Times New Roman" w:hAnsi="Times New Roman" w:eastAsia="宋体" w:cs="宋体"/>
          <w:b/>
          <w:bCs/>
          <w:color w:val="000000"/>
          <w:kern w:val="0"/>
          <w:sz w:val="24"/>
          <w:szCs w:val="24"/>
          <w:lang w:val="en-US" w:eastAsia="zh-CN" w:bidi="ar"/>
        </w:rPr>
        <w:t>-</w:t>
      </w:r>
      <w:r>
        <w:rPr>
          <w:rFonts w:hint="eastAsia" w:ascii="Times New Roman" w:hAnsi="Times New Roman" w:eastAsia="宋体" w:cs="宋体"/>
          <w:b/>
          <w:bCs/>
          <w:color w:val="000000"/>
          <w:kern w:val="0"/>
          <w:sz w:val="24"/>
          <w:szCs w:val="24"/>
          <w:lang w:val="en-US" w:eastAsia="zh-CN" w:bidi="ar"/>
        </w:rPr>
        <w:t>1</w:t>
      </w:r>
      <w:r>
        <w:rPr>
          <w:rFonts w:hint="default" w:ascii="Times New Roman" w:hAnsi="Times New Roman" w:eastAsia="宋体" w:cs="宋体"/>
          <w:b/>
          <w:bCs/>
          <w:color w:val="000000"/>
          <w:kern w:val="0"/>
          <w:sz w:val="24"/>
          <w:szCs w:val="24"/>
          <w:lang w:val="en-US" w:eastAsia="zh-CN" w:bidi="ar"/>
        </w:rPr>
        <w:t xml:space="preserve"> 土壤及地下水样品测试分析方法</w:t>
      </w:r>
    </w:p>
    <w:p>
      <w:pPr>
        <w:pStyle w:val="2"/>
        <w:rPr>
          <w:rFonts w:hint="default" w:ascii="Times New Roman" w:hAnsi="Times New Roman" w:eastAsia="宋体" w:cs="宋体"/>
          <w:b/>
          <w:bCs/>
          <w:color w:val="000000"/>
          <w:kern w:val="0"/>
          <w:sz w:val="24"/>
          <w:szCs w:val="24"/>
          <w:lang w:val="en-US" w:eastAsia="zh-CN" w:bidi="ar"/>
        </w:rPr>
      </w:pP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603"/>
        <w:gridCol w:w="4990"/>
        <w:gridCol w:w="1897"/>
        <w:gridCol w:w="1578"/>
        <w:gridCol w:w="1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23" w:type="dxa"/>
            <w:tcBorders>
              <w:tl2br w:val="nil"/>
              <w:tr2bl w:val="nil"/>
            </w:tcBorders>
            <w:noWrap w:val="0"/>
            <w:vAlign w:val="center"/>
          </w:tcPr>
          <w:p>
            <w:pPr>
              <w:pStyle w:val="39"/>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检测类别</w:t>
            </w:r>
          </w:p>
        </w:tc>
        <w:tc>
          <w:tcPr>
            <w:tcW w:w="1603"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检测项目</w:t>
            </w:r>
          </w:p>
        </w:tc>
        <w:tc>
          <w:tcPr>
            <w:tcW w:w="4990" w:type="dxa"/>
            <w:tcBorders>
              <w:tl2br w:val="nil"/>
              <w:tr2bl w:val="nil"/>
            </w:tcBorders>
            <w:noWrap w:val="0"/>
            <w:vAlign w:val="center"/>
          </w:tcPr>
          <w:p>
            <w:pPr>
              <w:widowControl/>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检测依据</w:t>
            </w:r>
          </w:p>
        </w:tc>
        <w:tc>
          <w:tcPr>
            <w:tcW w:w="1897" w:type="dxa"/>
            <w:tcBorders>
              <w:tl2br w:val="nil"/>
              <w:tr2bl w:val="nil"/>
            </w:tcBorders>
            <w:noWrap w:val="0"/>
            <w:vAlign w:val="center"/>
          </w:tcPr>
          <w:p>
            <w:pPr>
              <w:widowControl/>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仪器名称</w:t>
            </w:r>
          </w:p>
        </w:tc>
        <w:tc>
          <w:tcPr>
            <w:tcW w:w="1578" w:type="dxa"/>
            <w:tcBorders>
              <w:tl2br w:val="nil"/>
              <w:tr2bl w:val="nil"/>
            </w:tcBorders>
            <w:noWrap w:val="0"/>
            <w:vAlign w:val="center"/>
          </w:tcPr>
          <w:p>
            <w:pPr>
              <w:widowControl/>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仪器型号</w:t>
            </w:r>
          </w:p>
        </w:tc>
        <w:tc>
          <w:tcPr>
            <w:tcW w:w="1437" w:type="dxa"/>
            <w:tcBorders>
              <w:tl2br w:val="nil"/>
              <w:tr2bl w:val="nil"/>
            </w:tcBorders>
            <w:noWrap w:val="0"/>
            <w:vAlign w:val="center"/>
          </w:tcPr>
          <w:p>
            <w:pPr>
              <w:widowControl/>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仪器编号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323" w:type="dxa"/>
            <w:vMerge w:val="restart"/>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地下水</w:t>
            </w:r>
          </w:p>
        </w:tc>
        <w:tc>
          <w:tcPr>
            <w:tcW w:w="1603" w:type="dxa"/>
            <w:tcBorders>
              <w:tl2br w:val="nil"/>
              <w:tr2bl w:val="nil"/>
            </w:tcBorders>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990"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cs="Times New Roman"/>
                <w:szCs w:val="21"/>
                <w:lang w:val="en-US" w:eastAsia="zh-CN"/>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地下水环境监测技术规范</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 xml:space="preserve"> </w:t>
            </w:r>
            <w:r>
              <w:rPr>
                <w:rFonts w:hint="default" w:ascii="Times New Roman" w:hAnsi="Times New Roman" w:eastAsia="宋体" w:cs="Times New Roman"/>
                <w:sz w:val="21"/>
                <w:szCs w:val="21"/>
                <w:highlight w:val="none"/>
                <w:lang w:eastAsia="zh-CN"/>
              </w:rPr>
              <w:t xml:space="preserve">HJ/T </w:t>
            </w:r>
            <w:r>
              <w:rPr>
                <w:rFonts w:hint="default" w:ascii="Times New Roman" w:hAnsi="Times New Roman" w:eastAsia="宋体" w:cs="Times New Roman"/>
                <w:sz w:val="21"/>
                <w:szCs w:val="21"/>
                <w:highlight w:val="none"/>
                <w:lang w:val="en-US" w:eastAsia="zh-CN"/>
              </w:rPr>
              <w:t>164-2004</w:t>
            </w:r>
          </w:p>
        </w:tc>
        <w:tc>
          <w:tcPr>
            <w:tcW w:w="1897"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578"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437" w:type="dxa"/>
            <w:tcBorders>
              <w:tl2br w:val="nil"/>
              <w:tr2bl w:val="nil"/>
            </w:tcBorders>
            <w:noWrap w:val="0"/>
            <w:vAlign w:val="center"/>
          </w:tcPr>
          <w:p>
            <w:pPr>
              <w:widowControl/>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色</w:t>
            </w:r>
            <w:r>
              <w:rPr>
                <w:rFonts w:hint="default" w:ascii="Times New Roman" w:hAnsi="Times New Roman" w:cs="Times New Roman"/>
                <w:sz w:val="21"/>
                <w:szCs w:val="21"/>
                <w:lang w:eastAsia="zh-CN"/>
              </w:rPr>
              <w:t>度</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铂钴标准比色法《生活饮用水标准检验方法 感官性状和物理指标》</w:t>
            </w: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5750.4-2006</w:t>
            </w:r>
            <w:r>
              <w:rPr>
                <w:rFonts w:hint="eastAsia" w:ascii="Times New Roman" w:hAnsi="Times New Roman"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具塞比色管</w:t>
            </w:r>
          </w:p>
        </w:tc>
        <w:tc>
          <w:tcPr>
            <w:tcW w:w="1578"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50ml</w:t>
            </w:r>
          </w:p>
        </w:tc>
        <w:tc>
          <w:tcPr>
            <w:tcW w:w="1437"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eastAsia" w:ascii="宋体" w:hAnsi="宋体" w:eastAsia="宋体" w:cs="宋体"/>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臭和味</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嗅气和尝味法《生活饮用水标准检验方法 感官性状和物理指标》 </w:t>
            </w: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5750.4-2006</w:t>
            </w:r>
            <w:r>
              <w:rPr>
                <w:rFonts w:hint="eastAsia" w:ascii="Times New Roman" w:hAnsi="Times New Roman"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锥形瓶</w:t>
            </w:r>
          </w:p>
        </w:tc>
        <w:tc>
          <w:tcPr>
            <w:tcW w:w="1578"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rPr>
              <w:t>250ml</w:t>
            </w:r>
          </w:p>
        </w:tc>
        <w:tc>
          <w:tcPr>
            <w:tcW w:w="1437"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eastAsia" w:ascii="宋体" w:hAnsi="宋体" w:eastAsia="宋体" w:cs="宋体"/>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eastAsia="zh-CN"/>
              </w:rPr>
              <w:t>浊度</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cs="Times New Roman"/>
                <w:szCs w:val="21"/>
                <w:lang w:val="en-US" w:eastAsia="zh-CN"/>
              </w:rPr>
            </w:pPr>
            <w:r>
              <w:rPr>
                <w:rFonts w:hint="default" w:ascii="Times New Roman" w:hAnsi="Times New Roman" w:cs="Times New Roman" w:eastAsiaTheme="minorEastAsia"/>
                <w:i w:val="0"/>
                <w:color w:val="000000"/>
                <w:kern w:val="0"/>
                <w:sz w:val="21"/>
                <w:szCs w:val="21"/>
                <w:u w:val="none"/>
                <w:lang w:val="en-US" w:eastAsia="zh-CN" w:bidi="ar"/>
              </w:rPr>
              <w:t>便携式浊度仪法《水和废水监测分析方法》（第四版增补版）国家环境保护总局（2003）3.1.4.3</w:t>
            </w:r>
          </w:p>
        </w:tc>
        <w:tc>
          <w:tcPr>
            <w:tcW w:w="1897"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浊度仪</w:t>
            </w:r>
          </w:p>
        </w:tc>
        <w:tc>
          <w:tcPr>
            <w:tcW w:w="1578"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rPr>
              <w:t>WGZ-200</w:t>
            </w:r>
          </w:p>
        </w:tc>
        <w:tc>
          <w:tcPr>
            <w:tcW w:w="1437"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eastAsia="zh-CN"/>
              </w:rPr>
              <w:t>MST-02-04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23" w:type="dxa"/>
            <w:vMerge w:val="continue"/>
            <w:tcBorders>
              <w:tl2br w:val="nil"/>
              <w:tr2bl w:val="nil"/>
            </w:tcBorders>
            <w:noWrap w:val="0"/>
            <w:vAlign w:val="center"/>
          </w:tcPr>
          <w:p>
            <w:pPr>
              <w:jc w:val="cente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pPr>
            <w:r>
              <w:rPr>
                <w:rFonts w:hint="default" w:ascii="Times New Roman" w:hAnsi="Times New Roman" w:cs="Times New Roman"/>
                <w:sz w:val="21"/>
                <w:szCs w:val="21"/>
              </w:rPr>
              <w:t>肉眼可见物</w:t>
            </w:r>
          </w:p>
        </w:tc>
        <w:tc>
          <w:tcPr>
            <w:tcW w:w="4990" w:type="dxa"/>
            <w:tcBorders>
              <w:tl2br w:val="nil"/>
              <w:tr2bl w:val="nil"/>
            </w:tcBorders>
            <w:noWrap w:val="0"/>
            <w:vAlign w:val="center"/>
          </w:tcPr>
          <w:p>
            <w:pPr>
              <w:keepNext w:val="0"/>
              <w:keepLines w:val="0"/>
              <w:widowControl/>
              <w:suppressLineNumbers w:val="0"/>
              <w:jc w:val="center"/>
              <w:textAlignment w:val="center"/>
            </w:pPr>
            <w:r>
              <w:rPr>
                <w:rFonts w:hint="default" w:ascii="Times New Roman" w:hAnsi="Times New Roman" w:eastAsia="宋体" w:cs="Times New Roman"/>
                <w:i w:val="0"/>
                <w:color w:val="000000"/>
                <w:kern w:val="0"/>
                <w:sz w:val="21"/>
                <w:szCs w:val="21"/>
                <w:u w:val="none"/>
                <w:lang w:val="en-US" w:eastAsia="zh-CN" w:bidi="ar"/>
              </w:rPr>
              <w:t xml:space="preserve">直接观察法《生活饮用水标准检验方法 感官性状和物理指标》 </w:t>
            </w: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5750.4-2006</w:t>
            </w:r>
            <w:r>
              <w:rPr>
                <w:rFonts w:hint="eastAsia" w:ascii="Times New Roman" w:hAnsi="Times New Roman"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eastAsia" w:ascii="宋体" w:hAnsi="宋体" w:eastAsia="宋体" w:cs="宋体"/>
                <w:bCs/>
                <w:sz w:val="21"/>
                <w:szCs w:val="21"/>
              </w:rPr>
              <w:t>－</w:t>
            </w:r>
          </w:p>
        </w:tc>
        <w:tc>
          <w:tcPr>
            <w:tcW w:w="1578"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eastAsia" w:ascii="宋体" w:hAnsi="宋体" w:eastAsia="宋体" w:cs="宋体"/>
                <w:bCs/>
                <w:sz w:val="21"/>
                <w:szCs w:val="21"/>
              </w:rPr>
              <w:t>－</w:t>
            </w:r>
          </w:p>
        </w:tc>
        <w:tc>
          <w:tcPr>
            <w:tcW w:w="1437" w:type="dxa"/>
            <w:tcBorders>
              <w:tl2br w:val="nil"/>
              <w:tr2bl w:val="nil"/>
            </w:tcBorders>
            <w:noWrap w:val="0"/>
            <w:vAlign w:val="center"/>
          </w:tcPr>
          <w:p>
            <w:pPr>
              <w:spacing w:line="276" w:lineRule="auto"/>
              <w:jc w:val="center"/>
              <w:rPr>
                <w:rFonts w:hint="default" w:ascii="Times New Roman" w:hAnsi="Times New Roman" w:eastAsia="宋体" w:cs="Times New Roman"/>
                <w:sz w:val="21"/>
                <w:szCs w:val="21"/>
                <w:lang w:val="en-US" w:eastAsia="zh-CN"/>
              </w:rPr>
            </w:pPr>
            <w:r>
              <w:rPr>
                <w:rFonts w:hint="eastAsia" w:ascii="宋体" w:hAnsi="宋体" w:eastAsia="宋体" w:cs="宋体"/>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pH值</w:t>
            </w:r>
          </w:p>
        </w:tc>
        <w:tc>
          <w:tcPr>
            <w:tcW w:w="4990"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cs="Times New Roman"/>
                <w:szCs w:val="21"/>
                <w:lang w:val="en-US" w:eastAsia="zh-CN"/>
              </w:rPr>
            </w:pPr>
            <w:r>
              <w:rPr>
                <w:rFonts w:hint="default" w:ascii="Times New Roman" w:hAnsi="Times New Roman" w:cs="Times New Roman" w:eastAsiaTheme="minorEastAsia"/>
                <w:i w:val="0"/>
                <w:color w:val="000000"/>
                <w:kern w:val="0"/>
                <w:sz w:val="21"/>
                <w:szCs w:val="21"/>
                <w:u w:val="none"/>
                <w:lang w:val="en-US" w:eastAsia="zh-CN" w:bidi="ar"/>
              </w:rPr>
              <w:t>便携式pH计法《水和废水监测分析方法》（第四版增补版</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国家环境保护总局（2002</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3.1.6.2</w:t>
            </w:r>
          </w:p>
        </w:tc>
        <w:tc>
          <w:tcPr>
            <w:tcW w:w="1897"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i w:val="0"/>
                <w:color w:val="000000"/>
                <w:kern w:val="0"/>
                <w:sz w:val="21"/>
                <w:szCs w:val="21"/>
                <w:u w:val="none"/>
                <w:lang w:val="en-US" w:eastAsia="zh-CN" w:bidi="ar"/>
              </w:rPr>
              <w:t>便携式PH计</w:t>
            </w:r>
          </w:p>
        </w:tc>
        <w:tc>
          <w:tcPr>
            <w:tcW w:w="1578"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i w:val="0"/>
                <w:color w:val="000000"/>
                <w:kern w:val="0"/>
                <w:sz w:val="21"/>
                <w:szCs w:val="21"/>
                <w:u w:val="none"/>
                <w:lang w:val="en-US" w:eastAsia="zh-CN" w:bidi="ar"/>
              </w:rPr>
              <w:t>PHBJ-260</w:t>
            </w:r>
          </w:p>
        </w:tc>
        <w:tc>
          <w:tcPr>
            <w:tcW w:w="1437"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i w:val="0"/>
                <w:color w:val="000000"/>
                <w:kern w:val="0"/>
                <w:sz w:val="21"/>
                <w:szCs w:val="21"/>
                <w:u w:val="none"/>
                <w:lang w:val="en-US" w:eastAsia="zh-CN" w:bidi="ar"/>
              </w:rPr>
              <w:t>MST-15-38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总硬度</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水质 钙和镁总量的测定 EDTA滴定法》</w:t>
            </w:r>
          </w:p>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GB 7477-1987</w:t>
            </w:r>
            <w:r>
              <w:rPr>
                <w:rFonts w:hint="eastAsia" w:cs="Times New Roman"/>
                <w:bCs/>
                <w:color w:val="auto"/>
                <w:sz w:val="21"/>
                <w:szCs w:val="21"/>
                <w:lang w:eastAsia="zh-CN"/>
              </w:rPr>
              <w:t>）</w:t>
            </w:r>
          </w:p>
        </w:tc>
        <w:tc>
          <w:tcPr>
            <w:tcW w:w="1897"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Cs/>
                <w:color w:val="auto"/>
                <w:kern w:val="0"/>
                <w:sz w:val="21"/>
                <w:szCs w:val="21"/>
              </w:rPr>
              <w:t>滴定管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Cs/>
                <w:color w:val="auto"/>
                <w:sz w:val="21"/>
                <w:szCs w:val="21"/>
              </w:rPr>
              <w:t>25ml</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eastAsia" w:ascii="宋体" w:hAnsi="宋体" w:eastAsia="宋体" w:cs="宋体"/>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eastAsia="zh-CN"/>
              </w:rPr>
              <w:t>溶解性固体</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i w:val="0"/>
                <w:color w:val="000000"/>
                <w:kern w:val="0"/>
                <w:sz w:val="21"/>
                <w:szCs w:val="21"/>
                <w:u w:val="none"/>
                <w:lang w:val="en-US" w:eastAsia="zh-CN" w:bidi="ar"/>
              </w:rPr>
              <w:t>重量法《水和废水监测分析方法》（第四版增补版</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国家环境保护总局（2002</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3.1.7.2</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电子天平</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rPr>
              <w:t>FA</w:t>
            </w:r>
            <w:r>
              <w:rPr>
                <w:rFonts w:hint="eastAsia" w:ascii="Times New Roman" w:hAnsi="Times New Roman" w:cs="Times New Roman"/>
                <w:color w:val="000000" w:themeColor="text1"/>
                <w:sz w:val="21"/>
                <w:szCs w:val="21"/>
                <w:lang w:val="en-US" w:eastAsia="zh-CN"/>
              </w:rPr>
              <w:t>2204B</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宋体" w:hAnsi="宋体" w:eastAsia="宋体" w:cs="宋体"/>
                <w:bCs/>
                <w:color w:val="auto"/>
                <w:kern w:val="2"/>
                <w:sz w:val="21"/>
                <w:szCs w:val="21"/>
                <w:lang w:val="en-US" w:eastAsia="zh-CN" w:bidi="ar-SA"/>
              </w:rPr>
            </w:pPr>
            <w:r>
              <w:rPr>
                <w:rFonts w:hint="eastAsia" w:ascii="Times New Roman" w:hAnsi="Times New Roman" w:cs="Times New Roman"/>
                <w:color w:val="000000" w:themeColor="text1"/>
                <w:sz w:val="21"/>
                <w:szCs w:val="21"/>
                <w:lang w:val="en-US" w:eastAsia="zh-CN"/>
              </w:rPr>
              <w:t>MST-01-07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kern w:val="2"/>
                <w:sz w:val="21"/>
                <w:szCs w:val="22"/>
                <w:lang w:val="en-US" w:eastAsia="zh-CN" w:bidi="ar-SA"/>
              </w:rPr>
            </w:pPr>
            <w:r>
              <w:rPr>
                <w:rFonts w:hint="default"/>
                <w:sz w:val="21"/>
                <w:szCs w:val="24"/>
                <w:lang w:eastAsia="zh-CN"/>
              </w:rPr>
              <w:t>硫酸盐</w:t>
            </w:r>
          </w:p>
        </w:tc>
        <w:tc>
          <w:tcPr>
            <w:tcW w:w="499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硫酸盐的测定 铬酸钡分光光度法（试行</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w:t>
            </w:r>
          </w:p>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HJ/T 342-2007</w:t>
            </w:r>
            <w:r>
              <w:rPr>
                <w:rFonts w:hint="eastAsia" w:cs="Times New Roman"/>
                <w:bCs/>
                <w:color w:val="auto"/>
                <w:sz w:val="21"/>
                <w:szCs w:val="21"/>
                <w:lang w:eastAsia="zh-CN"/>
              </w:rPr>
              <w:t>）</w:t>
            </w:r>
          </w:p>
        </w:tc>
        <w:tc>
          <w:tcPr>
            <w:tcW w:w="1897" w:type="dxa"/>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val="en-US" w:eastAsia="zh-CN"/>
              </w:rPr>
              <w:t>UV</w:t>
            </w:r>
            <w:r>
              <w:rPr>
                <w:rFonts w:hint="default" w:ascii="Times New Roman" w:hAnsi="Times New Roman" w:eastAsia="宋体" w:cs="Times New Roman"/>
                <w:color w:val="auto"/>
                <w:sz w:val="21"/>
                <w:szCs w:val="21"/>
              </w:rPr>
              <w:t>-18</w:t>
            </w:r>
            <w:r>
              <w:rPr>
                <w:rFonts w:hint="eastAsia" w:ascii="Times New Roman" w:hAnsi="Times New Roman"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143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氯化物</w:t>
            </w:r>
          </w:p>
        </w:tc>
        <w:tc>
          <w:tcPr>
            <w:tcW w:w="4990" w:type="dxa"/>
            <w:tcBorders>
              <w:tl2br w:val="nil"/>
              <w:tr2bl w:val="nil"/>
            </w:tcBorders>
            <w:noWrap w:val="0"/>
            <w:vAlign w:val="center"/>
          </w:tcPr>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氯化物的测定 硝酸银滴定法》</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GB/T 11896-1989</w:t>
            </w:r>
            <w:r>
              <w:rPr>
                <w:rFonts w:hint="eastAsia" w:ascii="Times New Roman" w:hAnsi="Times New Roman" w:cs="Times New Roman"/>
                <w:bCs/>
                <w:color w:val="auto"/>
                <w:sz w:val="21"/>
                <w:szCs w:val="21"/>
                <w:lang w:eastAsia="zh-CN"/>
              </w:rPr>
              <w:t>）</w:t>
            </w:r>
          </w:p>
        </w:tc>
        <w:tc>
          <w:tcPr>
            <w:tcW w:w="189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滴定管</w:t>
            </w:r>
          </w:p>
        </w:tc>
        <w:tc>
          <w:tcPr>
            <w:tcW w:w="1578" w:type="dxa"/>
            <w:tcBorders>
              <w:tl2br w:val="nil"/>
              <w:tr2bl w:val="nil"/>
            </w:tcBorders>
            <w:noWrap w:val="0"/>
            <w:vAlign w:val="center"/>
          </w:tcPr>
          <w:p>
            <w:pPr>
              <w:spacing w:line="30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50ml</w:t>
            </w:r>
          </w:p>
        </w:tc>
        <w:tc>
          <w:tcPr>
            <w:tcW w:w="1437" w:type="dxa"/>
            <w:tcBorders>
              <w:tl2br w:val="nil"/>
              <w:tr2bl w:val="nil"/>
            </w:tcBorders>
            <w:noWrap w:val="0"/>
            <w:vAlign w:val="center"/>
          </w:tcPr>
          <w:p>
            <w:pPr>
              <w:spacing w:line="300" w:lineRule="auto"/>
              <w:jc w:val="center"/>
              <w:rPr>
                <w:rFonts w:hint="default" w:ascii="Times New Roman" w:hAnsi="Times New Roman" w:eastAsia="宋体" w:cs="Times New Roman"/>
                <w:bCs/>
                <w:color w:val="auto"/>
                <w:kern w:val="2"/>
                <w:sz w:val="21"/>
                <w:szCs w:val="21"/>
                <w:lang w:val="en-US" w:eastAsia="zh-CN" w:bidi="ar-SA"/>
              </w:rPr>
            </w:pPr>
            <w:r>
              <w:rPr>
                <w:rFonts w:hint="eastAsia" w:ascii="宋体" w:hAnsi="宋体" w:eastAsia="宋体" w:cs="宋体"/>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eastAsia="宋体"/>
                <w:sz w:val="21"/>
                <w:szCs w:val="24"/>
                <w:lang w:val="en-US" w:eastAsia="zh-CN"/>
              </w:rPr>
              <w:t>铁</w:t>
            </w:r>
            <w:r>
              <w:rPr>
                <w:rFonts w:hint="eastAsia"/>
                <w:sz w:val="21"/>
                <w:szCs w:val="24"/>
                <w:lang w:val="en-US" w:eastAsia="zh-CN"/>
              </w:rPr>
              <w:t>、</w:t>
            </w:r>
            <w:r>
              <w:rPr>
                <w:rFonts w:hint="default" w:ascii="Times New Roman" w:hAnsi="Times New Roman" w:cs="Times New Roman"/>
                <w:sz w:val="21"/>
                <w:szCs w:val="21"/>
              </w:rPr>
              <w:t>锰</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铁、锰的测定 火焰原子吸收分光光度法》</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GB/T 11911-1989</w:t>
            </w:r>
            <w:r>
              <w:rPr>
                <w:rFonts w:hint="eastAsia" w:cs="Times New Roman"/>
                <w:bCs/>
                <w:color w:val="auto"/>
                <w:sz w:val="21"/>
                <w:szCs w:val="21"/>
                <w:lang w:eastAsia="zh-CN"/>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火焰原子吸收分光光度计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普析通用</w:t>
            </w:r>
          </w:p>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eastAsia="zh-CN"/>
              </w:rPr>
              <w:t>TAS-990F</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kern w:val="2"/>
                <w:sz w:val="21"/>
                <w:szCs w:val="22"/>
                <w:lang w:val="en-US" w:eastAsia="zh-CN" w:bidi="ar-SA"/>
              </w:rPr>
            </w:pPr>
            <w:r>
              <w:rPr>
                <w:rFonts w:hint="default"/>
                <w:sz w:val="21"/>
                <w:szCs w:val="24"/>
                <w:lang w:eastAsia="zh-CN"/>
              </w:rPr>
              <w:t>铜</w:t>
            </w:r>
            <w:r>
              <w:rPr>
                <w:rFonts w:hint="eastAsia"/>
                <w:sz w:val="21"/>
                <w:szCs w:val="24"/>
                <w:lang w:eastAsia="zh-CN"/>
              </w:rPr>
              <w:t>、</w:t>
            </w:r>
            <w:r>
              <w:rPr>
                <w:rFonts w:hint="default"/>
                <w:sz w:val="21"/>
                <w:szCs w:val="24"/>
                <w:lang w:eastAsia="zh-CN"/>
              </w:rPr>
              <w:t>锌</w:t>
            </w:r>
          </w:p>
        </w:tc>
        <w:tc>
          <w:tcPr>
            <w:tcW w:w="499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铜、锌、铅、镉的测定 原子吸收分光光度法》</w:t>
            </w:r>
          </w:p>
          <w:p>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GB/T 7475-1987</w:t>
            </w:r>
            <w:r>
              <w:rPr>
                <w:rFonts w:hint="eastAsia" w:cs="Times New Roman"/>
                <w:bCs/>
                <w:color w:val="auto"/>
                <w:sz w:val="21"/>
                <w:szCs w:val="21"/>
                <w:lang w:eastAsia="zh-CN"/>
              </w:rPr>
              <w:t>）</w:t>
            </w:r>
          </w:p>
        </w:tc>
        <w:tc>
          <w:tcPr>
            <w:tcW w:w="189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火焰原子吸收分光光度计</w:t>
            </w:r>
          </w:p>
        </w:tc>
        <w:tc>
          <w:tcPr>
            <w:tcW w:w="1578" w:type="dxa"/>
            <w:tcBorders>
              <w:tl2br w:val="nil"/>
              <w:tr2bl w:val="nil"/>
            </w:tcBorders>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普析通用</w:t>
            </w:r>
          </w:p>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TAS-990F</w:t>
            </w:r>
          </w:p>
        </w:tc>
        <w:tc>
          <w:tcPr>
            <w:tcW w:w="143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MST-03-04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kern w:val="2"/>
                <w:sz w:val="21"/>
                <w:szCs w:val="22"/>
                <w:lang w:val="en-US" w:eastAsia="zh-CN" w:bidi="ar-SA"/>
              </w:rPr>
            </w:pPr>
            <w:r>
              <w:rPr>
                <w:rFonts w:hint="eastAsia" w:eastAsia="宋体"/>
                <w:sz w:val="21"/>
                <w:szCs w:val="24"/>
                <w:lang w:val="en-US" w:eastAsia="zh-CN"/>
              </w:rPr>
              <w:t>挥发酚</w:t>
            </w:r>
          </w:p>
        </w:tc>
        <w:tc>
          <w:tcPr>
            <w:tcW w:w="499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挥发酚的测定 4-氨基安替比林分光光度法》</w:t>
            </w:r>
          </w:p>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HJ 503-2009</w:t>
            </w:r>
            <w:r>
              <w:rPr>
                <w:rFonts w:hint="eastAsia" w:cs="Times New Roman"/>
                <w:bCs/>
                <w:color w:val="auto"/>
                <w:sz w:val="21"/>
                <w:szCs w:val="21"/>
                <w:lang w:eastAsia="zh-CN"/>
              </w:rPr>
              <w:t>）</w:t>
            </w:r>
          </w:p>
        </w:tc>
        <w:tc>
          <w:tcPr>
            <w:tcW w:w="189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lang w:val="en-US" w:eastAsia="zh-CN"/>
              </w:rPr>
              <w:t>UV-1800</w:t>
            </w:r>
          </w:p>
        </w:tc>
        <w:tc>
          <w:tcPr>
            <w:tcW w:w="143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kern w:val="2"/>
                <w:sz w:val="21"/>
                <w:szCs w:val="24"/>
                <w:lang w:val="en-US" w:eastAsia="zh-CN" w:bidi="ar-SA"/>
              </w:rPr>
            </w:pPr>
            <w:r>
              <w:rPr>
                <w:rFonts w:hint="eastAsia"/>
                <w:sz w:val="21"/>
                <w:szCs w:val="24"/>
                <w:lang w:val="en-US" w:eastAsia="zh-CN"/>
              </w:rPr>
              <w:t>阴离子表面活性剂</w:t>
            </w:r>
          </w:p>
        </w:tc>
        <w:tc>
          <w:tcPr>
            <w:tcW w:w="4990" w:type="dxa"/>
            <w:tcBorders>
              <w:tl2br w:val="nil"/>
              <w:tr2bl w:val="nil"/>
            </w:tcBorders>
            <w:noWrap w:val="0"/>
            <w:vAlign w:val="center"/>
          </w:tcPr>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 xml:space="preserve">水质  阴离子表面活性剂的测定  亚甲蓝分光光度法》 </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w:t>
            </w:r>
            <w:r>
              <w:rPr>
                <w:rFonts w:hint="eastAsia" w:ascii="Times New Roman" w:hAnsi="Times New Roman" w:cs="Times New Roman"/>
                <w:bCs/>
                <w:color w:val="auto"/>
                <w:sz w:val="21"/>
                <w:szCs w:val="21"/>
                <w:lang w:val="en-US" w:eastAsia="zh-CN"/>
              </w:rPr>
              <w:t xml:space="preserve"> </w:t>
            </w:r>
            <w:r>
              <w:rPr>
                <w:rFonts w:hint="default" w:ascii="Times New Roman" w:hAnsi="Times New Roman" w:eastAsia="宋体" w:cs="Times New Roman"/>
                <w:bCs/>
                <w:color w:val="auto"/>
                <w:sz w:val="21"/>
                <w:szCs w:val="21"/>
              </w:rPr>
              <w:t>7494-</w:t>
            </w:r>
            <w:r>
              <w:rPr>
                <w:rFonts w:hint="eastAsia" w:ascii="Times New Roman" w:hAnsi="Times New Roman" w:cs="Times New Roman"/>
                <w:bCs/>
                <w:color w:val="auto"/>
                <w:sz w:val="21"/>
                <w:szCs w:val="21"/>
                <w:lang w:val="en-US" w:eastAsia="zh-CN"/>
              </w:rPr>
              <w:t>19</w:t>
            </w:r>
            <w:r>
              <w:rPr>
                <w:rFonts w:hint="default" w:ascii="Times New Roman" w:hAnsi="Times New Roman" w:eastAsia="宋体" w:cs="Times New Roman"/>
                <w:bCs/>
                <w:color w:val="auto"/>
                <w:sz w:val="21"/>
                <w:szCs w:val="21"/>
              </w:rPr>
              <w:t>87</w:t>
            </w:r>
            <w:r>
              <w:rPr>
                <w:rFonts w:hint="eastAsia" w:cs="Times New Roman"/>
                <w:bCs/>
                <w:color w:val="auto"/>
                <w:sz w:val="21"/>
                <w:szCs w:val="21"/>
                <w:lang w:eastAsia="zh-CN"/>
              </w:rPr>
              <w:t>）</w:t>
            </w:r>
          </w:p>
        </w:tc>
        <w:tc>
          <w:tcPr>
            <w:tcW w:w="1897" w:type="dxa"/>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sz w:val="21"/>
                <w:szCs w:val="21"/>
                <w:lang w:val="en-US" w:eastAsia="zh-CN"/>
              </w:rPr>
              <w:t>UV-1800</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323" w:type="dxa"/>
            <w:vMerge w:val="continue"/>
            <w:tcBorders>
              <w:tl2br w:val="nil"/>
              <w:tr2bl w:val="nil"/>
            </w:tcBorders>
            <w:noWrap w:val="0"/>
            <w:vAlign w:val="center"/>
          </w:tcPr>
          <w:p>
            <w:pPr>
              <w:pStyle w:val="40"/>
              <w:spacing w:line="240" w:lineRule="exact"/>
              <w:ind w:left="630" w:leftChars="0" w:hanging="630" w:hangingChars="300"/>
              <w:jc w:val="center"/>
              <w:rPr>
                <w:rFonts w:hint="default"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耗氧量</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酸性高锰酸钾滴定法《生活饮用水标准检验方法 有机物综合指标》 </w:t>
            </w: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5750.7-2006</w:t>
            </w:r>
            <w:r>
              <w:rPr>
                <w:rFonts w:hint="eastAsia" w:ascii="Times New Roman" w:hAnsi="Times New Roman"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spacing w:line="276"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滴定管</w:t>
            </w:r>
          </w:p>
        </w:tc>
        <w:tc>
          <w:tcPr>
            <w:tcW w:w="1578" w:type="dxa"/>
            <w:tcBorders>
              <w:tl2br w:val="nil"/>
              <w:tr2bl w:val="nil"/>
            </w:tcBorders>
            <w:noWrap w:val="0"/>
            <w:vAlign w:val="center"/>
          </w:tcPr>
          <w:p>
            <w:pPr>
              <w:spacing w:line="276"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50ml</w:t>
            </w:r>
          </w:p>
        </w:tc>
        <w:tc>
          <w:tcPr>
            <w:tcW w:w="1437" w:type="dxa"/>
            <w:tcBorders>
              <w:tl2br w:val="nil"/>
              <w:tr2bl w:val="nil"/>
            </w:tcBorders>
            <w:noWrap w:val="0"/>
            <w:vAlign w:val="center"/>
          </w:tcPr>
          <w:p>
            <w:pPr>
              <w:spacing w:line="276" w:lineRule="auto"/>
              <w:jc w:val="center"/>
              <w:rPr>
                <w:rFonts w:hint="default" w:ascii="Times New Roman" w:hAnsi="Times New Roman" w:eastAsia="宋体" w:cs="Times New Roman"/>
                <w:bCs/>
                <w:kern w:val="2"/>
                <w:sz w:val="21"/>
                <w:szCs w:val="21"/>
                <w:lang w:val="en-US" w:eastAsia="zh-CN" w:bidi="ar-SA"/>
              </w:rPr>
            </w:pPr>
            <w:r>
              <w:rPr>
                <w:rFonts w:hint="eastAsia" w:ascii="宋体" w:hAnsi="宋体" w:eastAsia="宋体" w:cs="宋体"/>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pStyle w:val="10"/>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lang w:eastAsia="zh-CN"/>
              </w:rPr>
              <w:t>氨氮</w:t>
            </w:r>
          </w:p>
        </w:tc>
        <w:tc>
          <w:tcPr>
            <w:tcW w:w="4990"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 xml:space="preserve">水质 氨氮的测定 纳氏试剂分光光度法》 </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HJ 535-2009</w:t>
            </w:r>
            <w:r>
              <w:rPr>
                <w:rFonts w:hint="eastAsia" w:cs="Times New Roman"/>
                <w:bCs/>
                <w:color w:val="auto"/>
                <w:sz w:val="21"/>
                <w:szCs w:val="21"/>
                <w:lang w:eastAsia="zh-CN"/>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UV-1800</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MST-03-02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硫化物</w:t>
            </w:r>
          </w:p>
        </w:tc>
        <w:tc>
          <w:tcPr>
            <w:tcW w:w="499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硫化物的测定 亚甲基蓝分光光度法》</w:t>
            </w:r>
          </w:p>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 xml:space="preserve"> </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GB/T 16489-1996</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 xml:space="preserve"> </w:t>
            </w:r>
          </w:p>
        </w:tc>
        <w:tc>
          <w:tcPr>
            <w:tcW w:w="1897" w:type="dxa"/>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sz w:val="21"/>
                <w:szCs w:val="21"/>
                <w:lang w:val="en-US" w:eastAsia="zh-CN"/>
              </w:rPr>
              <w:t>UV-1800</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钠</w:t>
            </w:r>
          </w:p>
        </w:tc>
        <w:tc>
          <w:tcPr>
            <w:tcW w:w="4990"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 xml:space="preserve">水质 钾和钠的测定 火焰原子吸收分光光度法》 </w:t>
            </w:r>
          </w:p>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GB/T 11904-1989</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 xml:space="preserve"> </w:t>
            </w:r>
          </w:p>
        </w:tc>
        <w:tc>
          <w:tcPr>
            <w:tcW w:w="1897" w:type="dxa"/>
            <w:tcBorders>
              <w:tl2br w:val="nil"/>
              <w:tr2bl w:val="nil"/>
            </w:tcBorders>
            <w:noWrap w:val="0"/>
            <w:vAlign w:val="center"/>
          </w:tcPr>
          <w:p>
            <w:pPr>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火焰原子吸收分光光度计</w:t>
            </w:r>
          </w:p>
        </w:tc>
        <w:tc>
          <w:tcPr>
            <w:tcW w:w="1578" w:type="dxa"/>
            <w:tcBorders>
              <w:tl2br w:val="nil"/>
              <w:tr2bl w:val="nil"/>
            </w:tcBorders>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普析通用</w:t>
            </w:r>
          </w:p>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eastAsia="zh-CN"/>
              </w:rPr>
              <w:t>TAS-990F</w:t>
            </w:r>
          </w:p>
        </w:tc>
        <w:tc>
          <w:tcPr>
            <w:tcW w:w="143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eastAsia="zh-CN"/>
              </w:rPr>
              <w:t>MST-03-04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kern w:val="2"/>
                <w:sz w:val="21"/>
                <w:szCs w:val="21"/>
                <w:lang w:val="en-US" w:eastAsia="zh-CN" w:bidi="ar-SA"/>
              </w:rPr>
            </w:pPr>
            <w:r>
              <w:rPr>
                <w:rFonts w:hint="eastAsia" w:cs="Times New Roman"/>
                <w:color w:val="auto"/>
                <w:spacing w:val="0"/>
                <w:sz w:val="21"/>
                <w:szCs w:val="21"/>
                <w:lang w:eastAsia="zh-CN"/>
              </w:rPr>
              <w:t>总大肠菌群</w:t>
            </w:r>
          </w:p>
        </w:tc>
        <w:tc>
          <w:tcPr>
            <w:tcW w:w="4990"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多管发酵法《生活饮用水标准检验方法 微生物指标》</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5750.12-2006</w:t>
            </w:r>
            <w:r>
              <w:rPr>
                <w:rFonts w:hint="eastAsia"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sz w:val="21"/>
                <w:szCs w:val="21"/>
              </w:rPr>
              <w:t>生化培养箱</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sz w:val="21"/>
                <w:szCs w:val="21"/>
              </w:rPr>
              <w:t>SPX-</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50BSH-II</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宋体" w:hAnsi="宋体" w:eastAsia="宋体" w:cs="宋体"/>
                <w:bCs/>
                <w:color w:val="auto"/>
                <w:kern w:val="2"/>
                <w:sz w:val="21"/>
                <w:szCs w:val="21"/>
                <w:lang w:val="en-US" w:eastAsia="zh-CN" w:bidi="ar-SA"/>
              </w:rPr>
            </w:pPr>
            <w:r>
              <w:rPr>
                <w:rFonts w:hint="eastAsia" w:ascii="Times New Roman" w:hAnsi="Times New Roman" w:cs="Times New Roman"/>
                <w:sz w:val="21"/>
                <w:szCs w:val="21"/>
                <w:lang w:eastAsia="zh-CN"/>
              </w:rPr>
              <w:t>MST-06-24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菌落总数</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平皿计数法《生活饮用水标准检验方法 微生物指标》 </w:t>
            </w: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5750.12-2006</w:t>
            </w:r>
            <w:r>
              <w:rPr>
                <w:rFonts w:hint="eastAsia" w:ascii="Times New Roman" w:hAnsi="Times New Roman"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生化培养箱</w:t>
            </w:r>
          </w:p>
        </w:tc>
        <w:tc>
          <w:tcPr>
            <w:tcW w:w="1578"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SPX-</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50BSH-II</w:t>
            </w:r>
          </w:p>
        </w:tc>
        <w:tc>
          <w:tcPr>
            <w:tcW w:w="1437"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sz w:val="21"/>
                <w:szCs w:val="21"/>
                <w:lang w:eastAsia="zh-CN"/>
              </w:rPr>
              <w:t>MST-06-24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亚</w:t>
            </w:r>
            <w:r>
              <w:rPr>
                <w:rFonts w:hint="default" w:ascii="Times New Roman" w:hAnsi="Times New Roman" w:cs="Times New Roman"/>
                <w:sz w:val="21"/>
                <w:szCs w:val="21"/>
                <w:lang w:val="en-US" w:eastAsia="zh-CN"/>
              </w:rPr>
              <w:t>硝酸盐氮</w:t>
            </w:r>
          </w:p>
        </w:tc>
        <w:tc>
          <w:tcPr>
            <w:tcW w:w="4990" w:type="dxa"/>
            <w:tcBorders>
              <w:tl2br w:val="nil"/>
              <w:tr2bl w:val="nil"/>
            </w:tcBorders>
            <w:noWrap w:val="0"/>
            <w:vAlign w:val="center"/>
          </w:tcPr>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 xml:space="preserve">水质 亚硝酸盐氮的测定 分光光度法》 </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GB/T 7493-1987</w:t>
            </w:r>
            <w:r>
              <w:rPr>
                <w:rFonts w:hint="eastAsia" w:ascii="Times New Roman" w:hAnsi="Times New Roman" w:cs="Times New Roman"/>
                <w:bCs/>
                <w:color w:val="auto"/>
                <w:sz w:val="21"/>
                <w:szCs w:val="21"/>
                <w:lang w:eastAsia="zh-CN"/>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sz w:val="21"/>
                <w:szCs w:val="21"/>
                <w:lang w:val="en-US" w:eastAsia="zh-CN"/>
              </w:rPr>
              <w:t>UV-1800</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kern w:val="2"/>
                <w:sz w:val="21"/>
                <w:szCs w:val="22"/>
                <w:lang w:val="en-US" w:eastAsia="zh-CN" w:bidi="ar-SA"/>
              </w:rPr>
            </w:pPr>
            <w:r>
              <w:rPr>
                <w:rFonts w:hint="eastAsia" w:eastAsia="宋体"/>
                <w:sz w:val="21"/>
                <w:szCs w:val="24"/>
                <w:lang w:val="en-US" w:eastAsia="zh-CN"/>
              </w:rPr>
              <w:t>硝酸盐氮</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《水质 硝酸盐氮的测定 紫外分光光度法（试行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w:t>
            </w:r>
          </w:p>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（HJ/T 346-2007</w:t>
            </w:r>
            <w:r>
              <w:rPr>
                <w:rFonts w:hint="eastAsia" w:cs="Times New Roman"/>
                <w:color w:val="auto"/>
                <w:sz w:val="21"/>
                <w:szCs w:val="21"/>
                <w:lang w:eastAsia="zh-CN"/>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sz w:val="21"/>
                <w:szCs w:val="21"/>
                <w:lang w:val="en-US" w:eastAsia="zh-CN"/>
              </w:rPr>
              <w:t>UV-1800</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kern w:val="2"/>
                <w:sz w:val="21"/>
                <w:szCs w:val="22"/>
                <w:lang w:val="en-US" w:eastAsia="zh-CN" w:bidi="ar-SA"/>
              </w:rPr>
            </w:pPr>
            <w:r>
              <w:rPr>
                <w:rFonts w:hint="eastAsia" w:eastAsia="宋体"/>
                <w:sz w:val="21"/>
                <w:szCs w:val="24"/>
                <w:lang w:val="en-US" w:eastAsia="zh-CN"/>
              </w:rPr>
              <w:t>氰化物</w:t>
            </w:r>
          </w:p>
        </w:tc>
        <w:tc>
          <w:tcPr>
            <w:tcW w:w="4990" w:type="dxa"/>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异烟酸-吡唑酮分光光度法《生活饮用水标准检验方法 无机非金属指标》</w:t>
            </w:r>
          </w:p>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5750.5-2006</w:t>
            </w:r>
            <w:r>
              <w:rPr>
                <w:rFonts w:hint="eastAsia"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紫外可见分光光度计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sz w:val="21"/>
                <w:szCs w:val="21"/>
                <w:lang w:val="en-US" w:eastAsia="zh-CN"/>
              </w:rPr>
              <w:t>UV-1800</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eastAsia="zh-CN"/>
              </w:rPr>
              <w:t>氟化物</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氟化物的测定 离子选择电极法》</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GB 7484-</w:t>
            </w:r>
            <w:r>
              <w:rPr>
                <w:rFonts w:hint="eastAsia" w:cs="Times New Roman"/>
                <w:bCs/>
                <w:color w:val="auto"/>
                <w:sz w:val="21"/>
                <w:szCs w:val="21"/>
                <w:lang w:val="en-US" w:eastAsia="zh-CN"/>
              </w:rPr>
              <w:t>19</w:t>
            </w:r>
            <w:r>
              <w:rPr>
                <w:rFonts w:hint="default" w:ascii="Times New Roman" w:hAnsi="Times New Roman" w:eastAsia="宋体" w:cs="Times New Roman"/>
                <w:bCs/>
                <w:color w:val="auto"/>
                <w:sz w:val="21"/>
                <w:szCs w:val="21"/>
              </w:rPr>
              <w:t>87</w:t>
            </w:r>
            <w:r>
              <w:rPr>
                <w:rFonts w:hint="eastAsia" w:cs="Times New Roman"/>
                <w:bCs/>
                <w:color w:val="auto"/>
                <w:sz w:val="21"/>
                <w:szCs w:val="21"/>
                <w:lang w:eastAsia="zh-CN"/>
              </w:rPr>
              <w:t>）</w:t>
            </w:r>
          </w:p>
        </w:tc>
        <w:tc>
          <w:tcPr>
            <w:tcW w:w="1897"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离子活度计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000000" w:themeColor="text1"/>
                <w:kern w:val="0"/>
                <w:sz w:val="21"/>
                <w:szCs w:val="21"/>
                <w:lang w:val="en-US" w:eastAsia="zh-CN"/>
              </w:rPr>
              <w:t>PXS-270</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eastAsia="zh-CN"/>
              </w:rPr>
              <w:t>MST-02-05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ascii="宋体" w:hAnsi="Courier New" w:eastAsia="宋体" w:cs="Times New Roman"/>
                <w:color w:val="auto"/>
                <w:spacing w:val="0"/>
                <w:kern w:val="2"/>
                <w:sz w:val="21"/>
                <w:szCs w:val="21"/>
                <w:lang w:val="en-US" w:eastAsia="zh-CN" w:bidi="ar-SA"/>
              </w:rPr>
            </w:pPr>
            <w:r>
              <w:rPr>
                <w:rFonts w:hint="eastAsia" w:cs="Times New Roman"/>
                <w:color w:val="auto"/>
                <w:sz w:val="21"/>
                <w:szCs w:val="21"/>
                <w:lang w:eastAsia="zh-CN"/>
              </w:rPr>
              <w:t>汞、砷、</w:t>
            </w:r>
            <w:r>
              <w:rPr>
                <w:rFonts w:hint="default" w:ascii="Times New Roman" w:hAnsi="Times New Roman" w:eastAsia="宋体" w:cs="Times New Roman"/>
                <w:sz w:val="21"/>
                <w:szCs w:val="21"/>
                <w:lang w:val="en-US" w:eastAsia="zh-CN"/>
              </w:rPr>
              <w:t>硒</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水质 汞、砷、硒、铋和锑的测定 原子荧光法》</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HJ 694-2014</w:t>
            </w:r>
            <w:r>
              <w:rPr>
                <w:rFonts w:hint="eastAsia" w:cs="Times New Roman"/>
                <w:bCs/>
                <w:color w:val="auto"/>
                <w:sz w:val="21"/>
                <w:szCs w:val="21"/>
                <w:lang w:eastAsia="zh-CN"/>
              </w:rPr>
              <w:t>）</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双道原子荧光光度计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AFS-230E</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val="en-US" w:eastAsia="zh-CN"/>
              </w:rPr>
              <w:t>镉</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i w:val="0"/>
                <w:color w:val="000000"/>
                <w:kern w:val="0"/>
                <w:sz w:val="21"/>
                <w:szCs w:val="21"/>
                <w:u w:val="none"/>
                <w:lang w:val="en-US" w:eastAsia="zh-CN" w:bidi="ar"/>
              </w:rPr>
              <w:t>石墨炉原子吸收法测定镉、铜、铅《水和废水监测分析方法》（第四版增补版</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国家环境保护总局（2002</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3.4.7.4</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石墨炉原子吸收分光光度计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sz w:val="21"/>
                <w:szCs w:val="21"/>
              </w:rPr>
              <w:t>PinAAcle900</w:t>
            </w:r>
            <w:r>
              <w:rPr>
                <w:rFonts w:hint="eastAsia" w:ascii="Times New Roman" w:hAnsi="Times New Roman" w:cs="Times New Roman"/>
                <w:sz w:val="21"/>
                <w:szCs w:val="21"/>
                <w:lang w:val="en-US" w:eastAsia="zh-CN"/>
              </w:rPr>
              <w:t>Z</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sz w:val="21"/>
                <w:szCs w:val="21"/>
              </w:rPr>
              <w:t>MST</w:t>
            </w:r>
            <w:r>
              <w:rPr>
                <w:rFonts w:hint="eastAsia" w:ascii="Times New Roman" w:hAnsi="Times New Roman" w:cs="Times New Roman"/>
                <w:sz w:val="21"/>
                <w:szCs w:val="21"/>
                <w:lang w:val="en-US" w:eastAsia="zh-CN"/>
              </w:rPr>
              <w:t>-03-05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pStyle w:val="10"/>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sz w:val="21"/>
                <w:szCs w:val="21"/>
                <w:lang w:eastAsia="zh-CN"/>
              </w:rPr>
              <w:t>铬（六价）</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二苯碳酰二肼分光光度法《生活饮用水标准检验方法 金属指标》 </w:t>
            </w:r>
            <w:r>
              <w:rPr>
                <w:rFonts w:hint="eastAsia"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GB/T 5750.6-2006</w:t>
            </w:r>
            <w:r>
              <w:rPr>
                <w:rFonts w:hint="eastAsia" w:ascii="Times New Roman" w:hAnsi="Times New Roman"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紫外可见分光光度计</w:t>
            </w:r>
          </w:p>
        </w:tc>
        <w:tc>
          <w:tcPr>
            <w:tcW w:w="1578"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sz w:val="21"/>
                <w:szCs w:val="21"/>
                <w:lang w:val="en-US" w:eastAsia="zh-CN"/>
              </w:rPr>
              <w:t>UV-1800</w:t>
            </w:r>
          </w:p>
        </w:tc>
        <w:tc>
          <w:tcPr>
            <w:tcW w:w="1437" w:type="dxa"/>
            <w:tcBorders>
              <w:tl2br w:val="nil"/>
              <w:tr2bl w:val="nil"/>
            </w:tcBorders>
            <w:noWrap w:val="0"/>
            <w:vAlign w:val="center"/>
          </w:tcPr>
          <w:p>
            <w:pPr>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sz w:val="21"/>
                <w:szCs w:val="21"/>
                <w:lang w:eastAsia="zh-CN"/>
              </w:rPr>
              <w:t>MST-03-0</w:t>
            </w:r>
            <w:r>
              <w:rPr>
                <w:rFonts w:hint="eastAsia" w:ascii="Times New Roman" w:hAnsi="Times New Roman"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 w:val="21"/>
                <w:szCs w:val="21"/>
                <w:lang w:eastAsia="zh-CN"/>
              </w:rPr>
              <w:t>铅</w:t>
            </w:r>
          </w:p>
        </w:tc>
        <w:tc>
          <w:tcPr>
            <w:tcW w:w="4990" w:type="dxa"/>
            <w:tcBorders>
              <w:tl2br w:val="nil"/>
              <w:tr2bl w:val="nil"/>
            </w:tcBorders>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eastAsiaTheme="minorEastAsia"/>
                <w:i w:val="0"/>
                <w:color w:val="000000"/>
                <w:kern w:val="0"/>
                <w:sz w:val="21"/>
                <w:szCs w:val="21"/>
                <w:u w:val="none"/>
                <w:lang w:val="en-US" w:eastAsia="zh-CN" w:bidi="ar"/>
              </w:rPr>
              <w:t>石墨炉原子吸收法测定镉、铜、铅《水和废水监测分析方法》（第四版增补版</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国家环境保护总局（2002</w:t>
            </w:r>
            <w:r>
              <w:rPr>
                <w:rFonts w:hint="eastAsia" w:cs="Times New Roman" w:eastAsiaTheme="minorEastAsia"/>
                <w:i w:val="0"/>
                <w:color w:val="000000"/>
                <w:kern w:val="0"/>
                <w:sz w:val="21"/>
                <w:szCs w:val="21"/>
                <w:u w:val="none"/>
                <w:lang w:val="en-US" w:eastAsia="zh-CN" w:bidi="ar"/>
              </w:rPr>
              <w:t>）</w:t>
            </w:r>
            <w:r>
              <w:rPr>
                <w:rFonts w:hint="default" w:ascii="Times New Roman" w:hAnsi="Times New Roman" w:cs="Times New Roman" w:eastAsiaTheme="minorEastAsia"/>
                <w:i w:val="0"/>
                <w:color w:val="000000"/>
                <w:kern w:val="0"/>
                <w:sz w:val="21"/>
                <w:szCs w:val="21"/>
                <w:u w:val="none"/>
                <w:lang w:val="en-US" w:eastAsia="zh-CN" w:bidi="ar"/>
              </w:rPr>
              <w:t>3.4.16.5</w:t>
            </w:r>
          </w:p>
        </w:tc>
        <w:tc>
          <w:tcPr>
            <w:tcW w:w="189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sz w:val="21"/>
                <w:szCs w:val="21"/>
              </w:rPr>
              <w:t>石墨炉原子吸收分光光度计</w:t>
            </w:r>
          </w:p>
        </w:tc>
        <w:tc>
          <w:tcPr>
            <w:tcW w:w="1578"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PinAAcle900</w:t>
            </w:r>
            <w:r>
              <w:rPr>
                <w:rFonts w:hint="eastAsia" w:ascii="Times New Roman" w:hAnsi="Times New Roman" w:cs="Times New Roman"/>
                <w:color w:val="auto"/>
                <w:sz w:val="21"/>
                <w:szCs w:val="21"/>
                <w:lang w:val="en-US" w:eastAsia="zh-CN"/>
              </w:rPr>
              <w:t>Z</w:t>
            </w:r>
          </w:p>
        </w:tc>
        <w:tc>
          <w:tcPr>
            <w:tcW w:w="1437" w:type="dxa"/>
            <w:tcBorders>
              <w:tl2br w:val="nil"/>
              <w:tr2bl w:val="nil"/>
            </w:tcBorders>
            <w:noWrap w:val="0"/>
            <w:vAlign w:val="center"/>
          </w:tcPr>
          <w:p>
            <w:pPr>
              <w:keepNext w:val="0"/>
              <w:keepLines w:val="0"/>
              <w:pageBreakBefore w:val="0"/>
              <w:shd w:val="clear"/>
              <w:kinsoku/>
              <w:wordWrap/>
              <w:overflowPunct/>
              <w:topLinePunct w:val="0"/>
              <w:autoSpaceDE/>
              <w:autoSpaceDN/>
              <w:bidi w:val="0"/>
              <w:adjustRightInd/>
              <w:snapToGrid/>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MST</w:t>
            </w:r>
            <w:r>
              <w:rPr>
                <w:rFonts w:hint="eastAsia" w:ascii="Times New Roman" w:hAnsi="Times New Roman" w:cs="Times New Roman"/>
                <w:color w:val="auto"/>
                <w:sz w:val="21"/>
                <w:szCs w:val="21"/>
                <w:lang w:val="en-US" w:eastAsia="zh-CN"/>
              </w:rPr>
              <w:t>-03-05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default" w:ascii="Times New Roman" w:hAnsi="Times New Roman" w:cs="Times New Roman"/>
                <w:sz w:val="21"/>
                <w:szCs w:val="21"/>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四氯化碳、苯、甲苯</w:t>
            </w:r>
            <w:r>
              <w:rPr>
                <w:rFonts w:hint="eastAsia" w:cs="Times New Roman"/>
                <w:sz w:val="21"/>
                <w:szCs w:val="21"/>
                <w:lang w:val="en-US" w:eastAsia="zh-CN"/>
              </w:rPr>
              <w:t>、氯苯</w:t>
            </w:r>
          </w:p>
        </w:tc>
        <w:tc>
          <w:tcPr>
            <w:tcW w:w="4990" w:type="dxa"/>
            <w:tcBorders>
              <w:tl2br w:val="nil"/>
              <w:tr2bl w:val="nil"/>
            </w:tcBorders>
            <w:noWrap w:val="0"/>
            <w:vAlign w:val="center"/>
          </w:tcPr>
          <w:p>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 xml:space="preserve">水质 挥发性有机物的测定 吹扫捕集/气相色谱-质谱法》 </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rPr>
              <w:t>HJ 639-2012</w:t>
            </w:r>
            <w:r>
              <w:rPr>
                <w:rFonts w:hint="eastAsia" w:ascii="Times New Roman" w:hAnsi="Times New Roman" w:cs="Times New Roman"/>
                <w:bCs/>
                <w:color w:val="auto"/>
                <w:sz w:val="21"/>
                <w:szCs w:val="21"/>
                <w:lang w:eastAsia="zh-CN"/>
              </w:rPr>
              <w:t>）</w:t>
            </w:r>
          </w:p>
        </w:tc>
        <w:tc>
          <w:tcPr>
            <w:tcW w:w="189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rPr>
              <w:t>气质联用仪</w:t>
            </w:r>
          </w:p>
        </w:tc>
        <w:tc>
          <w:tcPr>
            <w:tcW w:w="1578"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val="en-US" w:eastAsia="zh-CN"/>
              </w:rPr>
              <w:t>7890A-</w:t>
            </w:r>
            <w:r>
              <w:rPr>
                <w:rFonts w:hint="default" w:ascii="Times New Roman" w:hAnsi="Times New Roman" w:eastAsia="宋体" w:cs="Times New Roman"/>
                <w:color w:val="auto"/>
                <w:sz w:val="21"/>
                <w:szCs w:val="21"/>
              </w:rPr>
              <w:t>5977A</w:t>
            </w:r>
          </w:p>
        </w:tc>
        <w:tc>
          <w:tcPr>
            <w:tcW w:w="1437" w:type="dxa"/>
            <w:tcBorders>
              <w:tl2br w:val="nil"/>
              <w:tr2bl w:val="nil"/>
            </w:tcBorders>
            <w:noWrap w:val="0"/>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color w:val="auto"/>
                <w:sz w:val="21"/>
                <w:szCs w:val="21"/>
                <w:lang w:eastAsia="zh-CN"/>
              </w:rPr>
              <w:t>MST-07-03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restart"/>
            <w:tcBorders>
              <w:tl2br w:val="nil"/>
              <w:tr2bl w:val="nil"/>
            </w:tcBorders>
            <w:noWrap w:val="0"/>
            <w:vAlign w:val="center"/>
          </w:tcPr>
          <w:p>
            <w:pPr>
              <w:pStyle w:val="39"/>
              <w:spacing w:line="24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土壤</w:t>
            </w:r>
          </w:p>
        </w:tc>
        <w:tc>
          <w:tcPr>
            <w:tcW w:w="1603" w:type="dxa"/>
            <w:tcBorders>
              <w:tl2br w:val="nil"/>
              <w:tr2bl w:val="nil"/>
            </w:tcBorders>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4990" w:type="dxa"/>
            <w:tcBorders>
              <w:tl2br w:val="nil"/>
              <w:tr2bl w:val="nil"/>
            </w:tcBorders>
            <w:noWrap w:val="0"/>
            <w:vAlign w:val="center"/>
          </w:tcPr>
          <w:p>
            <w:pPr>
              <w:widowControl/>
              <w:jc w:val="left"/>
              <w:rPr>
                <w:rFonts w:hint="default" w:ascii="Times New Roman" w:hAnsi="Times New Roman"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土壤环境监测技术规范》HJ/T 166-2004</w:t>
            </w:r>
          </w:p>
        </w:tc>
        <w:tc>
          <w:tcPr>
            <w:tcW w:w="1897"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578"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437" w:type="dxa"/>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cs="Times New Roman" w:eastAsiaTheme="minorEastAsia"/>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pH值</w:t>
            </w:r>
          </w:p>
        </w:tc>
        <w:tc>
          <w:tcPr>
            <w:tcW w:w="499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《土壤中pH值的测定》 （NY/T 1377-2007）</w:t>
            </w:r>
          </w:p>
        </w:tc>
        <w:tc>
          <w:tcPr>
            <w:tcW w:w="1897"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color w:val="auto"/>
                <w:sz w:val="21"/>
                <w:szCs w:val="21"/>
              </w:rPr>
              <w:t>酸度计</w:t>
            </w:r>
          </w:p>
        </w:tc>
        <w:tc>
          <w:tcPr>
            <w:tcW w:w="1578"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color w:val="auto"/>
                <w:sz w:val="21"/>
                <w:szCs w:val="21"/>
              </w:rPr>
              <w:t>PHS-3</w:t>
            </w:r>
            <w:r>
              <w:rPr>
                <w:rFonts w:hint="default" w:ascii="Times New Roman" w:hAnsi="Times New Roman" w:eastAsia="宋体" w:cs="Times New Roman"/>
                <w:color w:val="auto"/>
                <w:sz w:val="21"/>
                <w:szCs w:val="21"/>
                <w:lang w:val="en-US" w:eastAsia="zh-CN"/>
              </w:rPr>
              <w:t>E</w:t>
            </w:r>
          </w:p>
        </w:tc>
        <w:tc>
          <w:tcPr>
            <w:tcW w:w="1437" w:type="dxa"/>
            <w:tcBorders>
              <w:tl2br w:val="nil"/>
              <w:tr2bl w:val="nil"/>
            </w:tcBorders>
            <w:noWrap w:val="0"/>
            <w:vAlign w:val="center"/>
          </w:tcPr>
          <w:p>
            <w:pPr>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color w:val="auto"/>
                <w:sz w:val="21"/>
                <w:szCs w:val="21"/>
                <w:lang w:eastAsia="zh-CN"/>
              </w:rPr>
              <w:t>MST-02-02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i w:val="0"/>
                <w:color w:val="auto"/>
                <w:spacing w:val="0"/>
                <w:kern w:val="0"/>
                <w:sz w:val="21"/>
                <w:szCs w:val="21"/>
                <w:u w:val="none"/>
                <w:lang w:val="en-US" w:eastAsia="zh-CN" w:bidi="ar"/>
              </w:rPr>
              <w:t>砷</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土壤质量 总汞、总砷、总铅的测定 原子荧光法 第2部分：土壤中总砷的测定</w:t>
            </w:r>
            <w:r>
              <w:rPr>
                <w:rFonts w:hint="eastAsia" w:ascii="Times New Roman" w:hAnsi="Times New Roman" w:eastAsia="宋体" w:cs="Times New Roman"/>
                <w:i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000000"/>
                <w:kern w:val="2"/>
                <w:sz w:val="21"/>
                <w:szCs w:val="21"/>
                <w:u w:val="none"/>
                <w:lang w:val="en-US" w:eastAsia="zh-CN" w:bidi="ar-SA"/>
              </w:rPr>
            </w:pP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GB/T 22105.2-2008</w:t>
            </w:r>
            <w:r>
              <w:rPr>
                <w:rFonts w:hint="eastAsia" w:cs="Times New Roman"/>
                <w:i w:val="0"/>
                <w:color w:val="auto"/>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color w:val="auto"/>
                <w:sz w:val="21"/>
                <w:szCs w:val="21"/>
              </w:rPr>
              <w:t>双道原子荧光光度计</w:t>
            </w:r>
          </w:p>
        </w:tc>
        <w:tc>
          <w:tcPr>
            <w:tcW w:w="15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color w:val="auto"/>
                <w:sz w:val="21"/>
                <w:szCs w:val="21"/>
              </w:rPr>
              <w:t>AFS-230E</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asciiTheme="minorHAnsi" w:hAnsiTheme="minorHAnsi"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eastAsia="zh-CN"/>
              </w:rPr>
              <w:t>MST-03-06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spacing w:val="0"/>
                <w:kern w:val="0"/>
                <w:sz w:val="21"/>
                <w:szCs w:val="21"/>
                <w:u w:val="none"/>
                <w:lang w:val="en-US" w:eastAsia="zh-CN" w:bidi="ar"/>
              </w:rPr>
            </w:pPr>
            <w:r>
              <w:rPr>
                <w:rFonts w:hint="default" w:ascii="Times New Roman" w:hAnsi="Times New Roman" w:eastAsia="宋体" w:cs="Times New Roman"/>
                <w:i w:val="0"/>
                <w:color w:val="auto"/>
                <w:spacing w:val="0"/>
                <w:kern w:val="0"/>
                <w:sz w:val="21"/>
                <w:szCs w:val="21"/>
                <w:u w:val="none"/>
                <w:lang w:val="en-US" w:eastAsia="zh-CN" w:bidi="ar"/>
              </w:rPr>
              <w:t>汞</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土壤质量 总汞、总砷、总铅的测定 原子荧光法 第1部分：土壤中总汞的测定</w:t>
            </w:r>
            <w:r>
              <w:rPr>
                <w:rFonts w:hint="eastAsia" w:ascii="Times New Roman" w:hAnsi="Times New Roman" w:eastAsia="宋体" w:cs="Times New Roman"/>
                <w:i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GB/T 22105.1-2008</w:t>
            </w:r>
            <w:r>
              <w:rPr>
                <w:rFonts w:hint="eastAsia" w:cs="Times New Roman"/>
                <w:i w:val="0"/>
                <w:color w:val="auto"/>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双道原子荧光光度计</w:t>
            </w:r>
          </w:p>
        </w:tc>
        <w:tc>
          <w:tcPr>
            <w:tcW w:w="15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AFS-230E</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MST-03-06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铅</w:t>
            </w:r>
            <w:r>
              <w:rPr>
                <w:rFonts w:hint="eastAsia"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镉</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土壤质量  铅、镉的测定 石墨炉原子吸收分光光度法</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GB/T 17141-1997</w:t>
            </w:r>
            <w:r>
              <w:rPr>
                <w:rFonts w:hint="eastAsia" w:cs="Times New Roman"/>
                <w:i w:val="0"/>
                <w:color w:val="auto"/>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石墨炉原子吸收分光光度计</w:t>
            </w:r>
          </w:p>
        </w:tc>
        <w:tc>
          <w:tcPr>
            <w:tcW w:w="15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PinAAcle900</w:t>
            </w:r>
            <w:r>
              <w:rPr>
                <w:rFonts w:hint="eastAsia" w:eastAsia="宋体" w:cs="Times New Roman"/>
                <w:color w:val="auto"/>
                <w:sz w:val="21"/>
                <w:szCs w:val="21"/>
                <w:lang w:val="en-US" w:eastAsia="zh-CN"/>
              </w:rPr>
              <w:t>Z</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MST-03-05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铜</w:t>
            </w:r>
            <w:r>
              <w:rPr>
                <w:rFonts w:hint="eastAsia"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镍</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cs="Times New Roman" w:asciiTheme="minorHAnsi" w:hAnsiTheme="minorHAnsi" w:eastAsiaTheme="minorEastAsia"/>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《土壤和沉积物  铜、锌、铅、镍、铬的测定 火焰原子吸收分光光度法》（HJ 491-2019</w:t>
            </w:r>
            <w:r>
              <w:rPr>
                <w:rFonts w:hint="eastAsia" w:cs="Times New Roman"/>
                <w:i w:val="0"/>
                <w:color w:val="auto"/>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color w:val="auto"/>
                <w:sz w:val="21"/>
                <w:szCs w:val="21"/>
              </w:rPr>
              <w:t>火焰原子吸收分光光度计</w:t>
            </w:r>
          </w:p>
        </w:tc>
        <w:tc>
          <w:tcPr>
            <w:tcW w:w="15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普析</w:t>
            </w:r>
            <w:r>
              <w:rPr>
                <w:rFonts w:hint="eastAsia" w:eastAsia="宋体" w:cs="Times New Roman"/>
                <w:color w:val="auto"/>
                <w:sz w:val="21"/>
                <w:szCs w:val="21"/>
                <w:lang w:eastAsia="zh-CN"/>
              </w:rPr>
              <w:t>通用</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color w:val="auto"/>
                <w:sz w:val="21"/>
                <w:szCs w:val="21"/>
              </w:rPr>
              <w:t>TAS-990F</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s="Times New Roman" w:asciiTheme="minorHAnsi" w:hAnsiTheme="minorHAnsi" w:eastAsiaTheme="minorEastAsia"/>
                <w:color w:val="auto"/>
                <w:kern w:val="2"/>
                <w:sz w:val="21"/>
                <w:szCs w:val="21"/>
                <w:lang w:val="en-US" w:eastAsia="zh-CN" w:bidi="ar-SA"/>
              </w:rPr>
            </w:pPr>
            <w:r>
              <w:rPr>
                <w:rFonts w:hint="eastAsia" w:ascii="Times New Roman" w:hAnsi="Times New Roman" w:eastAsia="宋体" w:cs="Times New Roman"/>
                <w:color w:val="auto"/>
                <w:sz w:val="21"/>
                <w:szCs w:val="21"/>
                <w:lang w:eastAsia="zh-CN"/>
              </w:rPr>
              <w:t>MST-03-04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石油烃</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《土壤和沉积物 石油烃（C</w:t>
            </w:r>
            <w:r>
              <w:rPr>
                <w:rFonts w:hint="default" w:ascii="Times New Roman" w:hAnsi="Times New Roman" w:eastAsia="宋体" w:cs="Times New Roman"/>
                <w:i w:val="0"/>
                <w:color w:val="000000"/>
                <w:kern w:val="0"/>
                <w:sz w:val="21"/>
                <w:szCs w:val="21"/>
                <w:u w:val="none"/>
                <w:vertAlign w:val="subscript"/>
                <w:lang w:val="en-US" w:eastAsia="zh-CN" w:bidi="ar"/>
              </w:rPr>
              <w:t>10</w:t>
            </w:r>
            <w:r>
              <w:rPr>
                <w:rFonts w:hint="default" w:ascii="Times New Roman" w:hAnsi="Times New Roman" w:eastAsia="宋体" w:cs="Times New Roman"/>
                <w:i w:val="0"/>
                <w:color w:val="000000"/>
                <w:kern w:val="0"/>
                <w:sz w:val="21"/>
                <w:szCs w:val="21"/>
                <w:u w:val="none"/>
                <w:lang w:val="en-US" w:eastAsia="zh-CN" w:bidi="ar"/>
              </w:rPr>
              <w:t>-C</w:t>
            </w:r>
            <w:r>
              <w:rPr>
                <w:rFonts w:hint="default" w:ascii="Times New Roman" w:hAnsi="Times New Roman" w:eastAsia="宋体" w:cs="Times New Roman"/>
                <w:i w:val="0"/>
                <w:color w:val="000000"/>
                <w:kern w:val="0"/>
                <w:sz w:val="21"/>
                <w:szCs w:val="21"/>
                <w:u w:val="none"/>
                <w:vertAlign w:val="subscript"/>
                <w:lang w:val="en-US" w:eastAsia="zh-CN" w:bidi="ar"/>
              </w:rPr>
              <w:t>40</w:t>
            </w:r>
            <w:r>
              <w:rPr>
                <w:rFonts w:hint="eastAsia"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的测定 气相色谱法》</w:t>
            </w:r>
            <w:r>
              <w:rPr>
                <w:rFonts w:hint="eastAsia" w:ascii="Times New Roman" w:hAnsi="Times New Roman" w:eastAsia="宋体"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HJ 1021-2019</w:t>
            </w:r>
            <w:r>
              <w:rPr>
                <w:rFonts w:hint="eastAsia" w:cs="Times New Roman"/>
                <w:i w:val="0"/>
                <w:color w:val="000000"/>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气相色谱仪</w:t>
            </w:r>
          </w:p>
        </w:tc>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GC6890N</w:t>
            </w:r>
          </w:p>
        </w:tc>
        <w:tc>
          <w:tcPr>
            <w:tcW w:w="1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MST-04-09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lang w:val="en-US" w:eastAsia="zh-CN" w:bidi="ar-SA"/>
              </w:rPr>
            </w:pPr>
            <w:r>
              <w:rPr>
                <w:rFonts w:hint="eastAsia" w:cs="Times New Roman"/>
                <w:i w:val="0"/>
                <w:color w:val="auto"/>
                <w:kern w:val="0"/>
                <w:sz w:val="21"/>
                <w:szCs w:val="21"/>
                <w:u w:val="none"/>
                <w:lang w:val="en-US" w:eastAsia="zh-CN" w:bidi="ar"/>
              </w:rPr>
              <w:t>挥发性有机物</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土壤和沉积物 挥发性有机物的测定 吹扫捕集/气相色谱-质谱法</w:t>
            </w:r>
            <w:r>
              <w:rPr>
                <w:rFonts w:hint="eastAsia" w:ascii="Times New Roman" w:hAnsi="Times New Roman" w:eastAsia="宋体"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HJ 605-2011</w:t>
            </w:r>
            <w:r>
              <w:rPr>
                <w:rFonts w:hint="eastAsia" w:cs="Times New Roman"/>
                <w:i w:val="0"/>
                <w:color w:val="auto"/>
                <w:kern w:val="0"/>
                <w:sz w:val="21"/>
                <w:szCs w:val="21"/>
                <w:u w:val="none"/>
                <w:lang w:val="en-US" w:eastAsia="zh-CN" w:bidi="ar"/>
              </w:rPr>
              <w:t>）</w:t>
            </w:r>
          </w:p>
        </w:tc>
        <w:tc>
          <w:tcPr>
            <w:tcW w:w="18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气质联用仪</w:t>
            </w:r>
          </w:p>
        </w:tc>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val="0"/>
                <w:bCs w:val="0"/>
                <w:i w:val="0"/>
                <w:color w:val="auto"/>
                <w:kern w:val="0"/>
                <w:sz w:val="21"/>
                <w:szCs w:val="21"/>
                <w:u w:val="none"/>
                <w:lang w:val="en-US" w:eastAsia="zh-CN" w:bidi="ar"/>
              </w:rPr>
            </w:pPr>
            <w:r>
              <w:rPr>
                <w:rFonts w:hint="default" w:ascii="Times New Roman" w:hAnsi="Times New Roman" w:eastAsia="宋体" w:cs="Times New Roman"/>
                <w:b w:val="0"/>
                <w:bCs w:val="0"/>
                <w:i w:val="0"/>
                <w:color w:val="auto"/>
                <w:kern w:val="0"/>
                <w:sz w:val="21"/>
                <w:szCs w:val="21"/>
                <w:u w:val="none"/>
                <w:lang w:val="en-US" w:eastAsia="zh-CN" w:bidi="ar"/>
              </w:rPr>
              <w:t>7890</w:t>
            </w:r>
            <w:r>
              <w:rPr>
                <w:rFonts w:hint="eastAsia" w:cs="Times New Roman"/>
                <w:b w:val="0"/>
                <w:bCs w:val="0"/>
                <w:i w:val="0"/>
                <w:color w:val="auto"/>
                <w:kern w:val="0"/>
                <w:sz w:val="21"/>
                <w:szCs w:val="21"/>
                <w:u w:val="none"/>
                <w:lang w:val="en-US" w:eastAsia="zh-CN" w:bidi="ar"/>
              </w:rPr>
              <w:t>A</w:t>
            </w:r>
            <w:r>
              <w:rPr>
                <w:rFonts w:hint="default" w:ascii="Times New Roman" w:hAnsi="Times New Roman" w:eastAsia="宋体" w:cs="Times New Roman"/>
                <w:b w:val="0"/>
                <w:bCs w:val="0"/>
                <w:i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i w:val="0"/>
                <w:color w:val="auto"/>
                <w:kern w:val="0"/>
                <w:sz w:val="21"/>
                <w:szCs w:val="21"/>
                <w:u w:val="none"/>
                <w:lang w:val="en-US" w:eastAsia="zh-CN" w:bidi="ar"/>
              </w:rPr>
              <w:t>5977</w:t>
            </w:r>
            <w:r>
              <w:rPr>
                <w:rFonts w:hint="eastAsia" w:cs="Times New Roman"/>
                <w:b w:val="0"/>
                <w:bCs w:val="0"/>
                <w:i w:val="0"/>
                <w:color w:val="auto"/>
                <w:kern w:val="0"/>
                <w:sz w:val="21"/>
                <w:szCs w:val="21"/>
                <w:u w:val="none"/>
                <w:lang w:val="en-US" w:eastAsia="zh-CN" w:bidi="ar"/>
              </w:rPr>
              <w:t>A</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MST-07-</w:t>
            </w:r>
            <w:r>
              <w:rPr>
                <w:rFonts w:hint="eastAsia" w:cs="Times New Roman"/>
                <w:color w:val="auto"/>
                <w:sz w:val="21"/>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323" w:type="dxa"/>
            <w:vMerge w:val="continue"/>
            <w:tcBorders>
              <w:tl2br w:val="nil"/>
              <w:tr2bl w:val="nil"/>
            </w:tcBorders>
            <w:noWrap w:val="0"/>
            <w:vAlign w:val="center"/>
          </w:tcPr>
          <w:p>
            <w:pPr>
              <w:pStyle w:val="39"/>
              <w:spacing w:line="240" w:lineRule="exact"/>
              <w:jc w:val="center"/>
              <w:rPr>
                <w:rFonts w:hint="eastAsia" w:ascii="Times New Roman" w:hAnsi="Times New Roman" w:cs="Times New Roman"/>
                <w:sz w:val="21"/>
                <w:szCs w:val="21"/>
                <w:lang w:val="en-US" w:eastAsia="zh-CN"/>
              </w:rPr>
            </w:pPr>
          </w:p>
        </w:tc>
        <w:tc>
          <w:tcPr>
            <w:tcW w:w="160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color w:val="auto"/>
                <w:kern w:val="2"/>
                <w:sz w:val="21"/>
                <w:szCs w:val="21"/>
                <w:lang w:val="en-US" w:eastAsia="zh-CN" w:bidi="ar-SA"/>
              </w:rPr>
            </w:pPr>
            <w:r>
              <w:rPr>
                <w:rFonts w:hint="eastAsia" w:cs="Times New Roman"/>
                <w:b w:val="0"/>
                <w:bCs/>
                <w:color w:val="auto"/>
                <w:sz w:val="21"/>
                <w:szCs w:val="21"/>
                <w:lang w:val="en-US" w:eastAsia="zh-CN"/>
              </w:rPr>
              <w:t>半挥发性有机物</w:t>
            </w:r>
            <w:r>
              <w:rPr>
                <w:rFonts w:hint="eastAsia" w:cs="Times New Roman"/>
                <w:color w:val="auto"/>
                <w:kern w:val="2"/>
                <w:sz w:val="21"/>
                <w:szCs w:val="21"/>
                <w:lang w:val="en-US" w:eastAsia="zh-CN" w:bidi="ar-SA"/>
              </w:rPr>
              <w:t>、苯胺</w:t>
            </w:r>
          </w:p>
        </w:tc>
        <w:tc>
          <w:tcPr>
            <w:tcW w:w="4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《土壤和沉积物 半挥发性有机物的测定 气相色谱-质谱法》（HJ 834-2017</w:t>
            </w:r>
            <w:r>
              <w:rPr>
                <w:rFonts w:hint="eastAsia" w:cs="Times New Roman"/>
                <w:color w:val="auto"/>
                <w:sz w:val="21"/>
                <w:szCs w:val="21"/>
                <w:lang w:val="en-US" w:eastAsia="zh-CN"/>
              </w:rPr>
              <w:t>）</w:t>
            </w:r>
          </w:p>
        </w:tc>
        <w:tc>
          <w:tcPr>
            <w:tcW w:w="189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eastAsia" w:ascii="宋体" w:hAnsi="宋体" w:eastAsia="宋体" w:cs="宋体"/>
                <w:i w:val="0"/>
                <w:color w:val="auto"/>
                <w:kern w:val="0"/>
                <w:sz w:val="21"/>
                <w:szCs w:val="21"/>
                <w:u w:val="none"/>
                <w:lang w:val="en-US" w:eastAsia="zh-CN" w:bidi="ar"/>
              </w:rPr>
              <w:t>气质联用仪</w:t>
            </w:r>
          </w:p>
        </w:tc>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eastAsia"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6890N</w:t>
            </w:r>
            <w:r>
              <w:rPr>
                <w:rFonts w:hint="eastAsia" w:ascii="Times New Roman" w:hAnsi="Times New Roman" w:eastAsia="宋体" w:cs="Times New Roman"/>
                <w:i w:val="0"/>
                <w:color w:val="auto"/>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5973N</w:t>
            </w:r>
          </w:p>
        </w:tc>
        <w:tc>
          <w:tcPr>
            <w:tcW w:w="143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MST-07-0</w:t>
            </w:r>
            <w:r>
              <w:rPr>
                <w:rFonts w:hint="eastAsia" w:ascii="Times New Roman" w:hAnsi="Times New Roman" w:eastAsia="宋体" w:cs="Times New Roman"/>
                <w:color w:val="auto"/>
                <w:sz w:val="21"/>
                <w:szCs w:val="21"/>
                <w:lang w:val="en-US" w:eastAsia="zh-CN"/>
              </w:rPr>
              <w:t>2</w:t>
            </w:r>
          </w:p>
        </w:tc>
      </w:tr>
    </w:tbl>
    <w:p>
      <w:pPr>
        <w:pStyle w:val="2"/>
        <w:rPr>
          <w:rFonts w:hint="eastAsia" w:ascii="Times New Roman" w:hAnsi="Times New Roman" w:eastAsia="宋体" w:cs="宋体"/>
          <w:b/>
          <w:bCs/>
          <w:color w:val="000000"/>
          <w:kern w:val="0"/>
          <w:sz w:val="24"/>
          <w:szCs w:val="24"/>
          <w:lang w:val="en-US" w:eastAsia="zh-CN" w:bidi="ar"/>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pStyle w:val="2"/>
        <w:outlineLvl w:val="1"/>
        <w:rPr>
          <w:rFonts w:hint="eastAsia" w:ascii="Times New Roman" w:hAnsi="Times New Roman" w:eastAsia="宋体" w:cs="Times New Roman"/>
          <w:sz w:val="28"/>
          <w:szCs w:val="28"/>
          <w:lang w:val="en-US" w:eastAsia="zh-CN"/>
        </w:rPr>
      </w:pPr>
      <w:bookmarkStart w:id="51" w:name="_Toc8852"/>
      <w:r>
        <w:rPr>
          <w:rFonts w:hint="eastAsia" w:ascii="Times New Roman" w:hAnsi="Times New Roman" w:eastAsia="宋体" w:cs="Times New Roman"/>
          <w:sz w:val="28"/>
          <w:szCs w:val="28"/>
          <w:lang w:val="en-US" w:eastAsia="zh-CN"/>
        </w:rPr>
        <w:t>9.4样品采集、保存与流转的质量保证与控制</w:t>
      </w:r>
      <w:bookmarkEnd w:id="51"/>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参照</w:t>
      </w:r>
      <w:r>
        <w:rPr>
          <w:rFonts w:ascii="Times New Roman" w:hAnsi="Times New Roman" w:eastAsia="宋体" w:cs="Times New Roman"/>
          <w:sz w:val="24"/>
          <w:szCs w:val="24"/>
        </w:rPr>
        <w:t>《</w:t>
      </w:r>
      <w:r>
        <w:rPr>
          <w:rFonts w:hint="eastAsia" w:ascii="Times New Roman" w:hAnsi="Times New Roman" w:eastAsia="宋体" w:cs="Times New Roman"/>
          <w:sz w:val="24"/>
          <w:szCs w:val="24"/>
        </w:rPr>
        <w:t>土壤</w:t>
      </w:r>
      <w:r>
        <w:rPr>
          <w:rFonts w:ascii="Times New Roman" w:hAnsi="Times New Roman" w:eastAsia="宋体" w:cs="Times New Roman"/>
          <w:sz w:val="24"/>
          <w:szCs w:val="24"/>
        </w:rPr>
        <w:t>环境监测技术规范》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HJ/T 166-2004</w:t>
      </w:r>
      <w:r>
        <w:rPr>
          <w:rFonts w:hint="eastAsia" w:ascii="Times New Roman" w:hAnsi="Times New Roman" w:eastAsia="宋体" w:cs="Times New Roman"/>
          <w:sz w:val="24"/>
          <w:szCs w:val="24"/>
        </w:rPr>
        <w:t>）和《地下水</w:t>
      </w:r>
      <w:r>
        <w:rPr>
          <w:rFonts w:ascii="Times New Roman" w:hAnsi="Times New Roman" w:eastAsia="宋体" w:cs="Times New Roman"/>
          <w:sz w:val="24"/>
          <w:szCs w:val="24"/>
        </w:rPr>
        <w:t>环境监测技术规范</w:t>
      </w:r>
      <w:r>
        <w:rPr>
          <w:rFonts w:hint="eastAsia" w:ascii="Times New Roman" w:hAnsi="Times New Roman" w:eastAsia="宋体" w:cs="Times New Roman"/>
          <w:sz w:val="24"/>
          <w:szCs w:val="24"/>
        </w:rPr>
        <w:t>》（</w:t>
      </w:r>
      <w:r>
        <w:rPr>
          <w:rFonts w:ascii="Times New Roman" w:hAnsi="Times New Roman" w:eastAsia="宋体" w:cs="Times New Roman"/>
          <w:sz w:val="24"/>
          <w:szCs w:val="24"/>
        </w:rPr>
        <w:t>HJ/T 164-2004</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要求</w:t>
      </w:r>
      <w:r>
        <w:rPr>
          <w:rFonts w:hint="eastAsia" w:ascii="Times New Roman" w:hAnsi="Times New Roman" w:eastAsia="宋体" w:cs="Times New Roman"/>
          <w:sz w:val="24"/>
          <w:szCs w:val="24"/>
        </w:rPr>
        <w:t>。样品完成</w:t>
      </w:r>
      <w:r>
        <w:rPr>
          <w:rFonts w:ascii="Times New Roman" w:hAnsi="Times New Roman" w:eastAsia="宋体" w:cs="Times New Roman"/>
          <w:sz w:val="24"/>
          <w:szCs w:val="24"/>
        </w:rPr>
        <w:t>采集后，现场填写样品运输单，记录信息包括</w:t>
      </w:r>
      <w:r>
        <w:rPr>
          <w:rFonts w:hint="eastAsia" w:ascii="Times New Roman" w:hAnsi="Times New Roman" w:eastAsia="宋体" w:cs="Times New Roman"/>
          <w:sz w:val="24"/>
          <w:szCs w:val="24"/>
        </w:rPr>
        <w:t>样品</w:t>
      </w:r>
      <w:r>
        <w:rPr>
          <w:rFonts w:ascii="Times New Roman" w:hAnsi="Times New Roman" w:eastAsia="宋体" w:cs="Times New Roman"/>
          <w:sz w:val="24"/>
          <w:szCs w:val="24"/>
        </w:rPr>
        <w:t>编号、采集日期、分析的参数、送样联系人等信息。</w:t>
      </w:r>
      <w:r>
        <w:rPr>
          <w:rFonts w:hint="eastAsia" w:ascii="Times New Roman" w:hAnsi="Times New Roman" w:eastAsia="宋体" w:cs="Times New Roman"/>
          <w:sz w:val="24"/>
          <w:szCs w:val="24"/>
        </w:rPr>
        <w:t>采样现场需配备样品保温箱，样品采集后应立即存放至保温箱内，保证样品在</w:t>
      </w:r>
      <w:r>
        <w:rPr>
          <w:rFonts w:ascii="Times New Roman" w:hAnsi="Times New Roman" w:eastAsia="宋体" w:cs="Times New Roman"/>
          <w:sz w:val="24"/>
          <w:szCs w:val="24"/>
        </w:rPr>
        <w:t>4</w:t>
      </w:r>
      <w:r>
        <w:rPr>
          <w:rFonts w:hint="eastAsia" w:ascii="Times New Roman" w:hAnsi="Times New Roman" w:eastAsia="宋体" w:cs="Times New Roman"/>
          <w:sz w:val="24"/>
          <w:szCs w:val="24"/>
        </w:rPr>
        <w:t>℃低温保存；如果样品采集当天不能将样品寄送至实验室进行检测，样品需用冷藏柜低温保存，冷藏柜温度应调至</w:t>
      </w:r>
      <w:r>
        <w:rPr>
          <w:rFonts w:ascii="Times New Roman" w:hAnsi="Times New Roman" w:eastAsia="宋体" w:cs="Times New Roman"/>
          <w:sz w:val="24"/>
          <w:szCs w:val="24"/>
        </w:rPr>
        <w:t>4</w:t>
      </w:r>
      <w:r>
        <w:rPr>
          <w:rFonts w:hint="eastAsia" w:ascii="Times New Roman" w:hAnsi="Times New Roman" w:eastAsia="宋体" w:cs="Times New Roman"/>
          <w:sz w:val="24"/>
          <w:szCs w:val="24"/>
        </w:rPr>
        <w:t>℃；样品寄送到实验室的流转过程要求始终保存在存有冷冻蓝冰的保温箱内，</w:t>
      </w:r>
      <w:r>
        <w:rPr>
          <w:rFonts w:ascii="Times New Roman" w:hAnsi="Times New Roman" w:eastAsia="宋体" w:cs="Times New Roman"/>
          <w:sz w:val="24"/>
          <w:szCs w:val="24"/>
        </w:rPr>
        <w:t>4</w:t>
      </w:r>
      <w:r>
        <w:rPr>
          <w:rFonts w:hint="eastAsia" w:ascii="Times New Roman" w:hAnsi="Times New Roman" w:eastAsia="宋体" w:cs="Times New Roman"/>
          <w:sz w:val="24"/>
          <w:szCs w:val="24"/>
        </w:rPr>
        <w:t>℃低温保存流转。</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在采样小组分工中应明确现场核对负责人，样品装运前应进行样品清点核对，逐件与采样记录单进行核对，保存核对记录，核对无误后分类装箱。如果样品清点结果与采样记录有任何不同，应及时查明原因，并进行说明。样品装运同时需填写样品运送单，明确样品名称、采样时间、样品介质、检测指标、检测方法、样品寄送人等信息。</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样品流转运输的基本要求是保证样品安全和及时送达。样品应在保存时限内尽快运送至检测实验室。运输过程中要有样品箱并做好适当的减震隔离，严防破损、混淆或沾污。对</w:t>
      </w:r>
      <w:r>
        <w:rPr>
          <w:rFonts w:ascii="Times New Roman" w:hAnsi="Times New Roman" w:eastAsia="宋体" w:cs="Times New Roman"/>
          <w:sz w:val="24"/>
          <w:szCs w:val="24"/>
        </w:rPr>
        <w:t>光敏感的样品应有避光外包装。</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样品由</w:t>
      </w:r>
      <w:r>
        <w:rPr>
          <w:rFonts w:ascii="Times New Roman" w:hAnsi="Times New Roman" w:eastAsia="宋体" w:cs="Times New Roman"/>
          <w:sz w:val="24"/>
          <w:szCs w:val="24"/>
        </w:rPr>
        <w:t>专人送至实验室，</w:t>
      </w:r>
      <w:r>
        <w:rPr>
          <w:rFonts w:hint="eastAsia" w:ascii="Times New Roman" w:hAnsi="Times New Roman" w:eastAsia="宋体" w:cs="Times New Roman"/>
          <w:sz w:val="24"/>
          <w:szCs w:val="24"/>
        </w:rPr>
        <w:t>实验室样品接收人员应确认样品的保存条件和保存方式是否符合要求。收样实验室应清点核实样品数量，并在样品运送单上签字确认。</w:t>
      </w:r>
    </w:p>
    <w:p>
      <w:pPr>
        <w:pStyle w:val="2"/>
        <w:outlineLvl w:val="1"/>
        <w:rPr>
          <w:rFonts w:hint="eastAsia" w:ascii="Times New Roman" w:hAnsi="Times New Roman" w:eastAsia="宋体" w:cs="Times New Roman"/>
          <w:sz w:val="28"/>
          <w:szCs w:val="28"/>
          <w:lang w:val="en-US" w:eastAsia="zh-CN"/>
        </w:rPr>
      </w:pPr>
      <w:bookmarkStart w:id="52" w:name="_Toc24732"/>
      <w:r>
        <w:rPr>
          <w:rFonts w:hint="eastAsia" w:ascii="Times New Roman" w:hAnsi="Times New Roman" w:eastAsia="宋体" w:cs="Times New Roman"/>
          <w:sz w:val="28"/>
          <w:szCs w:val="28"/>
          <w:lang w:val="en-US" w:eastAsia="zh-CN"/>
        </w:rPr>
        <w:t>9.5样品分析测试的质量保证与控制</w:t>
      </w:r>
      <w:bookmarkEnd w:id="52"/>
    </w:p>
    <w:p>
      <w:pPr>
        <w:spacing w:line="360" w:lineRule="auto"/>
        <w:ind w:firstLine="480" w:firstLineChars="200"/>
        <w:jc w:val="both"/>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样品采集完成后，密封保存，尽快送入实验室进行分析。分析过程严格按照 </w:t>
      </w:r>
    </w:p>
    <w:p>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监测方案中规定的分析测试方法进行实验室分析，并用现场平行、全程空白、盲样、加标等手段做好质量保证质量控制工作，以保证测试结果的精密度和准确度。 在实验室分析过程中，通过分析平行样品、加标回收、环保部有证盲样、过程空白等手段对检测过程进行质量控制，确保实验室分析过程准确无误。</w:t>
      </w:r>
    </w:p>
    <w:p>
      <w:pPr>
        <w:spacing w:line="360" w:lineRule="auto"/>
        <w:ind w:firstLine="482" w:firstLineChars="200"/>
        <w:outlineLvl w:val="2"/>
        <w:rPr>
          <w:rFonts w:hint="eastAsia" w:ascii="Times New Roman" w:hAnsi="Times New Roman" w:eastAsia="宋体" w:cs="Times New Roman"/>
          <w:b/>
          <w:bCs/>
          <w:sz w:val="24"/>
          <w:szCs w:val="24"/>
          <w:lang w:val="en-US" w:eastAsia="zh-CN"/>
        </w:rPr>
      </w:pPr>
      <w:bookmarkStart w:id="53" w:name="_Toc11688"/>
      <w:r>
        <w:rPr>
          <w:rFonts w:hint="eastAsia" w:ascii="Times New Roman" w:hAnsi="Times New Roman" w:eastAsia="宋体" w:cs="Times New Roman"/>
          <w:b/>
          <w:bCs/>
          <w:sz w:val="24"/>
          <w:szCs w:val="24"/>
          <w:lang w:val="en-US" w:eastAsia="zh-CN"/>
        </w:rPr>
        <w:t>9.5.1检测报告</w:t>
      </w:r>
      <w:bookmarkEnd w:id="53"/>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根据监测数据出具检测报告，并对检测结果根据相应的排放标准、标准限值 </w:t>
      </w:r>
    </w:p>
    <w:p>
      <w:pPr>
        <w:spacing w:line="36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超标与否进行研判。监测报告经三级审核，授权签字人签发后按合同要求交付委托方。</w:t>
      </w:r>
    </w:p>
    <w:p>
      <w:pPr>
        <w:pStyle w:val="2"/>
        <w:ind w:firstLine="482" w:firstLineChars="200"/>
        <w:outlineLvl w:val="2"/>
        <w:rPr>
          <w:rFonts w:hint="eastAsia" w:ascii="Times New Roman" w:hAnsi="Times New Roman" w:eastAsia="宋体" w:cs="Times New Roman"/>
          <w:b/>
          <w:bCs/>
          <w:sz w:val="24"/>
          <w:szCs w:val="24"/>
          <w:lang w:val="en-US" w:eastAsia="zh-CN"/>
        </w:rPr>
      </w:pPr>
      <w:bookmarkStart w:id="54" w:name="_Toc30028"/>
      <w:r>
        <w:rPr>
          <w:rFonts w:hint="eastAsia" w:ascii="Times New Roman" w:hAnsi="Times New Roman" w:eastAsia="宋体" w:cs="Times New Roman"/>
          <w:b/>
          <w:bCs/>
          <w:sz w:val="24"/>
          <w:szCs w:val="24"/>
          <w:lang w:val="en-US" w:eastAsia="zh-CN"/>
        </w:rPr>
        <w:t>9.5.2质量保证体系</w:t>
      </w:r>
      <w:bookmarkEnd w:id="54"/>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为保证给客户提供满意的服务，公司制定了严格的质量管理体系，具体包括： </w:t>
      </w:r>
    </w:p>
    <w:p>
      <w:pPr>
        <w:spacing w:line="360" w:lineRule="auto"/>
        <w:rPr>
          <w:rFonts w:ascii="Times New Roman" w:hAnsi="Times New Roman" w:eastAsia="宋体"/>
        </w:rPr>
      </w:pPr>
      <w:r>
        <w:rPr>
          <w:rFonts w:hint="eastAsia" w:ascii="Times New Roman" w:hAnsi="Times New Roman" w:eastAsia="宋体" w:cs="Times New Roman"/>
          <w:sz w:val="24"/>
          <w:szCs w:val="24"/>
          <w:lang w:val="en-US" w:eastAsia="zh-CN"/>
        </w:rPr>
        <w:t xml:space="preserve">质量考核：实验室质量部定期实施质量考核计划，以进一步了解人员的测试能力。质量监督：在各个关键流程点实施质量监督，以及时发现问题并在第一时间进行解决和预防。 </w:t>
      </w:r>
    </w:p>
    <w:p>
      <w:pPr>
        <w:pStyle w:val="2"/>
        <w:ind w:firstLine="482" w:firstLineChars="200"/>
        <w:outlineLvl w:val="2"/>
        <w:rPr>
          <w:rFonts w:hint="default" w:ascii="Times New Roman" w:hAnsi="Times New Roman" w:eastAsia="宋体" w:cs="Times New Roman"/>
          <w:sz w:val="24"/>
          <w:szCs w:val="24"/>
          <w:lang w:val="en-US" w:eastAsia="zh-CN"/>
        </w:rPr>
      </w:pPr>
      <w:bookmarkStart w:id="55" w:name="_Toc1405"/>
      <w:r>
        <w:rPr>
          <w:rFonts w:hint="eastAsia" w:ascii="Times New Roman" w:hAnsi="Times New Roman" w:eastAsia="宋体" w:cs="Times New Roman"/>
          <w:b/>
          <w:bCs/>
          <w:sz w:val="24"/>
          <w:szCs w:val="24"/>
          <w:lang w:val="en-US" w:eastAsia="zh-CN"/>
        </w:rPr>
        <w:t>9.5.3实验室检测质量保证</w:t>
      </w:r>
      <w:bookmarkEnd w:id="55"/>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空白值测定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测定全程序空白样，且每批样品至少测定一个实验室空白值，空白样比例不 </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低于 10%。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样品精密度控制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凡能做平行样的项目，每批样品随机抽取10%实验室平行样。平行样相对偏差应符合方法规定的控制指标或范围。 </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 xml:space="preserve">样品准确度控制 </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监测方法允许时，做加标回收，每批样品随机抽取10%样品做加标回收或盲样检查，或者其他的质控方法，有机项目每24小时，分析一次QC样品，QC样品的相对误差应符合方法规定的控制范围。</w:t>
      </w: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pPr>
    </w:p>
    <w:p>
      <w:pPr>
        <w:pStyle w:val="2"/>
        <w:rPr>
          <w:rFonts w:hint="eastAsia" w:ascii="Times New Roman" w:hAnsi="Times New Roman" w:eastAsia="宋体" w:cs="Times New Roman"/>
          <w:sz w:val="24"/>
          <w:szCs w:val="24"/>
          <w:lang w:val="en-US" w:eastAsia="zh-C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outlineLvl w:val="0"/>
        <w:rPr>
          <w:rFonts w:hint="eastAsia" w:ascii="Times New Roman" w:hAnsi="Times New Roman" w:eastAsia="宋体" w:cs="Times New Roman"/>
          <w:sz w:val="24"/>
          <w:szCs w:val="24"/>
          <w:highlight w:val="none"/>
          <w:lang w:val="en-US" w:eastAsia="zh-CN"/>
        </w:rPr>
      </w:pPr>
      <w:bookmarkStart w:id="56" w:name="_Toc1343"/>
      <w:r>
        <w:rPr>
          <w:rFonts w:hint="eastAsia" w:ascii="Times New Roman" w:hAnsi="Times New Roman" w:eastAsia="宋体" w:cs="Times New Roman"/>
          <w:sz w:val="24"/>
          <w:szCs w:val="24"/>
          <w:highlight w:val="none"/>
          <w:lang w:val="en-US" w:eastAsia="zh-CN"/>
        </w:rPr>
        <w:t>附件1：重点设施信息记录表</w:t>
      </w:r>
      <w:bookmarkEnd w:id="56"/>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874"/>
        <w:gridCol w:w="1909"/>
        <w:gridCol w:w="1005"/>
        <w:gridCol w:w="1635"/>
        <w:gridCol w:w="1606"/>
        <w:gridCol w:w="1545"/>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企业名称</w:t>
            </w:r>
          </w:p>
        </w:tc>
        <w:tc>
          <w:tcPr>
            <w:tcW w:w="13260" w:type="dxa"/>
            <w:gridSpan w:val="7"/>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南通利奥化工科技有限公司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调查日期</w:t>
            </w:r>
          </w:p>
        </w:tc>
        <w:tc>
          <w:tcPr>
            <w:tcW w:w="2783" w:type="dxa"/>
            <w:gridSpan w:val="2"/>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202</w:t>
            </w:r>
            <w:r>
              <w:rPr>
                <w:rFonts w:hint="eastAsia" w:ascii="Times New Roman" w:hAnsi="Times New Roman" w:cs="Times New Roman"/>
                <w:sz w:val="24"/>
                <w:szCs w:val="24"/>
                <w:vertAlign w:val="baseline"/>
                <w:lang w:val="en-US" w:eastAsia="zh-CN"/>
              </w:rPr>
              <w:t>1</w:t>
            </w:r>
            <w:r>
              <w:rPr>
                <w:rFonts w:hint="eastAsia" w:ascii="Times New Roman" w:hAnsi="Times New Roman" w:eastAsia="宋体" w:cs="Times New Roman"/>
                <w:sz w:val="24"/>
                <w:szCs w:val="24"/>
                <w:vertAlign w:val="baseline"/>
                <w:lang w:val="en-US" w:eastAsia="zh-CN"/>
              </w:rPr>
              <w:t>年</w:t>
            </w:r>
            <w:r>
              <w:rPr>
                <w:rFonts w:hint="eastAsia" w:ascii="Times New Roman" w:hAnsi="Times New Roman" w:cs="Times New Roman"/>
                <w:sz w:val="24"/>
                <w:szCs w:val="24"/>
                <w:vertAlign w:val="baseline"/>
                <w:lang w:val="en-US" w:eastAsia="zh-CN"/>
              </w:rPr>
              <w:t>6</w:t>
            </w:r>
            <w:r>
              <w:rPr>
                <w:rFonts w:hint="eastAsia" w:ascii="Times New Roman" w:hAnsi="Times New Roman" w:eastAsia="宋体" w:cs="Times New Roman"/>
                <w:sz w:val="24"/>
                <w:szCs w:val="24"/>
                <w:vertAlign w:val="baseline"/>
                <w:lang w:val="en-US" w:eastAsia="zh-CN"/>
              </w:rPr>
              <w:t>月2</w:t>
            </w:r>
            <w:r>
              <w:rPr>
                <w:rFonts w:hint="eastAsia" w:ascii="Times New Roman" w:hAnsi="Times New Roman" w:cs="Times New Roman"/>
                <w:sz w:val="24"/>
                <w:szCs w:val="24"/>
                <w:vertAlign w:val="baseline"/>
                <w:lang w:val="en-US" w:eastAsia="zh-CN"/>
              </w:rPr>
              <w:t>7</w:t>
            </w:r>
            <w:r>
              <w:rPr>
                <w:rFonts w:hint="eastAsia" w:ascii="Times New Roman" w:hAnsi="Times New Roman" w:eastAsia="宋体" w:cs="Times New Roman"/>
                <w:sz w:val="24"/>
                <w:szCs w:val="24"/>
                <w:vertAlign w:val="baseline"/>
                <w:lang w:val="en-US" w:eastAsia="zh-CN"/>
              </w:rPr>
              <w:t>日</w:t>
            </w:r>
          </w:p>
        </w:tc>
        <w:tc>
          <w:tcPr>
            <w:tcW w:w="1005"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参与人员</w:t>
            </w:r>
          </w:p>
        </w:tc>
        <w:tc>
          <w:tcPr>
            <w:tcW w:w="9472" w:type="dxa"/>
            <w:gridSpan w:val="4"/>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徐工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重点设施名称</w:t>
            </w:r>
          </w:p>
        </w:tc>
        <w:tc>
          <w:tcPr>
            <w:tcW w:w="874"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对应点位编号</w:t>
            </w:r>
          </w:p>
        </w:tc>
        <w:tc>
          <w:tcPr>
            <w:tcW w:w="1909"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坐标</w:t>
            </w:r>
          </w:p>
        </w:tc>
        <w:tc>
          <w:tcPr>
            <w:tcW w:w="1005"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设施功能</w:t>
            </w:r>
          </w:p>
        </w:tc>
        <w:tc>
          <w:tcPr>
            <w:tcW w:w="1635"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涉及有毒有害物质清单</w:t>
            </w:r>
          </w:p>
        </w:tc>
        <w:tc>
          <w:tcPr>
            <w:tcW w:w="1606"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关注污染物</w:t>
            </w:r>
          </w:p>
        </w:tc>
        <w:tc>
          <w:tcPr>
            <w:tcW w:w="1545"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潜在污染隐患（泄露、渗漏、溢出）</w:t>
            </w:r>
          </w:p>
        </w:tc>
        <w:tc>
          <w:tcPr>
            <w:tcW w:w="4686"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地面是否有效防渗措施（附照片）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罐区及甲类库</w:t>
            </w:r>
          </w:p>
        </w:tc>
        <w:tc>
          <w:tcPr>
            <w:tcW w:w="87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1A01</w:t>
            </w:r>
          </w:p>
        </w:tc>
        <w:tc>
          <w:tcPr>
            <w:tcW w:w="1909"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rPr>
              <w:t>121° 2'24.12"东32°32'4.25"北</w:t>
            </w:r>
          </w:p>
        </w:tc>
        <w:tc>
          <w:tcPr>
            <w:tcW w:w="100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罐区、甲类库</w:t>
            </w:r>
          </w:p>
        </w:tc>
        <w:tc>
          <w:tcPr>
            <w:tcW w:w="1635"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宋体"/>
                <w:sz w:val="21"/>
                <w:szCs w:val="21"/>
                <w:lang w:val="en-US" w:eastAsia="zh-CN"/>
              </w:rPr>
              <w:t>频哪酮、甲醇、1,3,5-三氯苯、3,5-二氯苯甲酰氯、一、二氯频哪酮、</w:t>
            </w:r>
            <w:r>
              <w:rPr>
                <w:rFonts w:hint="eastAsia" w:ascii="Times New Roman" w:hAnsi="Times New Roman" w:eastAsia="宋体" w:cs="Times New Roman"/>
                <w:bCs/>
                <w:sz w:val="21"/>
                <w:szCs w:val="21"/>
                <w:vertAlign w:val="baseline"/>
                <w:lang w:val="en-US" w:eastAsia="zh-CN"/>
              </w:rPr>
              <w:t>盐酸、甲醛、异戊烯、甲苯</w:t>
            </w:r>
          </w:p>
        </w:tc>
        <w:tc>
          <w:tcPr>
            <w:tcW w:w="1606"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宋体"/>
                <w:sz w:val="21"/>
                <w:szCs w:val="21"/>
                <w:lang w:val="en-US" w:eastAsia="zh-CN"/>
              </w:rPr>
              <w:t>pH频哪酮、甲醇、1,3,5-三氯苯、3,5-二氯苯甲酰氯、一、二氯频哪酮、</w:t>
            </w:r>
            <w:r>
              <w:rPr>
                <w:rFonts w:hint="eastAsia" w:ascii="Times New Roman" w:hAnsi="Times New Roman" w:eastAsia="宋体" w:cs="Times New Roman"/>
                <w:bCs/>
                <w:sz w:val="21"/>
                <w:szCs w:val="21"/>
                <w:vertAlign w:val="baseline"/>
                <w:lang w:val="en-US" w:eastAsia="zh-CN"/>
              </w:rPr>
              <w:t>甲醛、异戊烯、甲苯</w:t>
            </w:r>
          </w:p>
        </w:tc>
        <w:tc>
          <w:tcPr>
            <w:tcW w:w="1545"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泄露、渗漏、溢出</w:t>
            </w:r>
          </w:p>
        </w:tc>
        <w:tc>
          <w:tcPr>
            <w:tcW w:w="4686"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default" w:ascii="Times New Roman" w:hAnsi="Times New Roman" w:eastAsia="宋体"/>
                <w:lang w:val="en-US" w:eastAsia="zh-CN"/>
              </w:rPr>
              <w:drawing>
                <wp:inline distT="0" distB="0" distL="114300" distR="114300">
                  <wp:extent cx="2725420" cy="1626235"/>
                  <wp:effectExtent l="0" t="0" r="17780" b="12065"/>
                  <wp:docPr id="37" name="图片 37" descr="f4021d277e522c69caa1a8c746a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4021d277e522c69caa1a8c746a4545"/>
                          <pic:cNvPicPr>
                            <a:picLocks noChangeAspect="1"/>
                          </pic:cNvPicPr>
                        </pic:nvPicPr>
                        <pic:blipFill>
                          <a:blip r:embed="rId31"/>
                          <a:stretch>
                            <a:fillRect/>
                          </a:stretch>
                        </pic:blipFill>
                        <pic:spPr>
                          <a:xfrm>
                            <a:off x="0" y="0"/>
                            <a:ext cx="2725420" cy="1626235"/>
                          </a:xfrm>
                          <a:prstGeom prst="rect">
                            <a:avLst/>
                          </a:prstGeom>
                        </pic:spPr>
                      </pic:pic>
                    </a:graphicData>
                  </a:graphic>
                </wp:inline>
              </w:drawing>
            </w:r>
            <w:r>
              <w:rPr>
                <w:rFonts w:hint="eastAsia" w:ascii="Times New Roman" w:hAnsi="Times New Roman" w:eastAsia="宋体"/>
                <w:lang w:val="en-US" w:eastAsia="zh-CN"/>
              </w:rPr>
              <w:drawing>
                <wp:inline distT="0" distB="0" distL="114300" distR="114300">
                  <wp:extent cx="2685415" cy="1462405"/>
                  <wp:effectExtent l="0" t="0" r="635" b="4445"/>
                  <wp:docPr id="36" name="图片 36" descr="8ca91334ef00f0032fa1c46a4ad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ca91334ef00f0032fa1c46a4ad8978"/>
                          <pic:cNvPicPr>
                            <a:picLocks noChangeAspect="1"/>
                          </pic:cNvPicPr>
                        </pic:nvPicPr>
                        <pic:blipFill>
                          <a:blip r:embed="rId30"/>
                          <a:stretch>
                            <a:fillRect/>
                          </a:stretch>
                        </pic:blipFill>
                        <pic:spPr>
                          <a:xfrm>
                            <a:off x="0" y="0"/>
                            <a:ext cx="2685415" cy="1462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91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生产区</w:t>
            </w:r>
          </w:p>
        </w:tc>
        <w:tc>
          <w:tcPr>
            <w:tcW w:w="87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1B01</w:t>
            </w:r>
          </w:p>
        </w:tc>
        <w:tc>
          <w:tcPr>
            <w:tcW w:w="1909"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rPr>
              <w:t>121° 2'21.71"东 32°32'2.44"北</w:t>
            </w:r>
          </w:p>
        </w:tc>
        <w:tc>
          <w:tcPr>
            <w:tcW w:w="100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sz w:val="24"/>
                <w:szCs w:val="24"/>
                <w:lang w:val="en-US" w:eastAsia="zh-CN"/>
              </w:rPr>
              <w:t>频哪酮车间</w:t>
            </w:r>
            <w:r>
              <w:rPr>
                <w:rFonts w:hint="eastAsia" w:ascii="Times New Roman" w:hAnsi="Times New Roman" w:eastAsia="宋体" w:cs="宋体"/>
                <w:color w:val="000000"/>
                <w:kern w:val="0"/>
                <w:sz w:val="24"/>
                <w:szCs w:val="24"/>
                <w:lang w:val="en-US" w:eastAsia="zh-CN" w:bidi="ar"/>
              </w:rPr>
              <w:t>、</w:t>
            </w:r>
            <w:r>
              <w:rPr>
                <w:rFonts w:hint="eastAsia" w:ascii="Times New Roman" w:hAnsi="Times New Roman" w:eastAsia="宋体" w:cs="宋体"/>
                <w:sz w:val="24"/>
                <w:szCs w:val="24"/>
                <w:lang w:val="en-US" w:eastAsia="zh-CN"/>
              </w:rPr>
              <w:t>氯化苄联产车间</w:t>
            </w:r>
            <w:r>
              <w:rPr>
                <w:rFonts w:hint="eastAsia" w:ascii="Times New Roman" w:hAnsi="Times New Roman" w:eastAsia="宋体" w:cs="宋体"/>
                <w:color w:val="000000"/>
                <w:kern w:val="0"/>
                <w:sz w:val="24"/>
                <w:szCs w:val="24"/>
                <w:lang w:val="en-US" w:eastAsia="zh-CN" w:bidi="ar"/>
              </w:rPr>
              <w:t>、</w:t>
            </w:r>
            <w:r>
              <w:rPr>
                <w:rFonts w:hint="eastAsia" w:ascii="Times New Roman" w:hAnsi="Times New Roman" w:eastAsia="宋体" w:cs="宋体"/>
                <w:sz w:val="24"/>
                <w:szCs w:val="24"/>
                <w:lang w:val="en-US" w:eastAsia="zh-CN"/>
              </w:rPr>
              <w:t>一、二氯频哪酮车间</w:t>
            </w:r>
          </w:p>
        </w:tc>
        <w:tc>
          <w:tcPr>
            <w:tcW w:w="1635" w:type="dxa"/>
            <w:vMerge w:val="restart"/>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宋体"/>
                <w:sz w:val="21"/>
                <w:szCs w:val="21"/>
                <w:lang w:val="en-US" w:eastAsia="zh-CN"/>
              </w:rPr>
              <w:t>频哪酮、</w:t>
            </w:r>
            <w:r>
              <w:rPr>
                <w:rFonts w:hint="eastAsia" w:ascii="Times New Roman" w:hAnsi="Times New Roman" w:eastAsia="宋体"/>
                <w:sz w:val="21"/>
                <w:szCs w:val="21"/>
              </w:rPr>
              <w:t>氯化苄</w:t>
            </w:r>
            <w:r>
              <w:rPr>
                <w:rFonts w:hint="eastAsia" w:ascii="Times New Roman" w:hAnsi="Times New Roman" w:eastAsia="宋体"/>
                <w:sz w:val="21"/>
                <w:szCs w:val="21"/>
                <w:lang w:eastAsia="zh-CN"/>
              </w:rPr>
              <w:t>、</w:t>
            </w:r>
            <w:r>
              <w:rPr>
                <w:rFonts w:hint="eastAsia" w:ascii="Times New Roman" w:hAnsi="Times New Roman" w:eastAsia="宋体" w:cs="宋体"/>
                <w:sz w:val="21"/>
                <w:szCs w:val="21"/>
                <w:lang w:val="en-US" w:eastAsia="zh-CN"/>
              </w:rPr>
              <w:t>3,5-二氯苯甲酰氯</w:t>
            </w:r>
            <w:r>
              <w:rPr>
                <w:rFonts w:hint="eastAsia" w:ascii="Times New Roman" w:hAnsi="Times New Roman" w:eastAsia="宋体" w:cs="Times New Roman"/>
                <w:bCs/>
                <w:sz w:val="21"/>
                <w:szCs w:val="21"/>
                <w:vertAlign w:val="baseline"/>
                <w:lang w:val="en-US" w:eastAsia="zh-CN"/>
              </w:rPr>
              <w:t>、苯甲酰氯、三氯苯、盐酸</w:t>
            </w:r>
          </w:p>
        </w:tc>
        <w:tc>
          <w:tcPr>
            <w:tcW w:w="1606" w:type="dxa"/>
            <w:vMerge w:val="restart"/>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宋体"/>
                <w:sz w:val="21"/>
                <w:szCs w:val="21"/>
                <w:lang w:val="en-US" w:eastAsia="zh-CN"/>
              </w:rPr>
              <w:t>pH、频哪酮、</w:t>
            </w:r>
            <w:r>
              <w:rPr>
                <w:rFonts w:hint="eastAsia" w:ascii="Times New Roman" w:hAnsi="Times New Roman" w:eastAsia="宋体"/>
                <w:sz w:val="21"/>
                <w:szCs w:val="21"/>
              </w:rPr>
              <w:t>氯化苄</w:t>
            </w:r>
            <w:r>
              <w:rPr>
                <w:rFonts w:hint="eastAsia" w:ascii="Times New Roman" w:hAnsi="Times New Roman" w:eastAsia="宋体"/>
                <w:sz w:val="21"/>
                <w:szCs w:val="21"/>
                <w:lang w:eastAsia="zh-CN"/>
              </w:rPr>
              <w:t>、</w:t>
            </w:r>
            <w:r>
              <w:rPr>
                <w:rFonts w:hint="eastAsia" w:ascii="Times New Roman" w:hAnsi="Times New Roman" w:eastAsia="宋体" w:cs="宋体"/>
                <w:sz w:val="21"/>
                <w:szCs w:val="21"/>
                <w:lang w:val="en-US" w:eastAsia="zh-CN"/>
              </w:rPr>
              <w:t>3,5-二氯苯甲酰氯</w:t>
            </w:r>
            <w:r>
              <w:rPr>
                <w:rFonts w:hint="eastAsia" w:ascii="Times New Roman" w:hAnsi="Times New Roman" w:eastAsia="宋体" w:cs="Times New Roman"/>
                <w:bCs/>
                <w:sz w:val="21"/>
                <w:szCs w:val="21"/>
                <w:vertAlign w:val="baseline"/>
                <w:lang w:val="en-US" w:eastAsia="zh-CN"/>
              </w:rPr>
              <w:t>、苯甲酰氯、三氯苯</w:t>
            </w:r>
          </w:p>
        </w:tc>
        <w:tc>
          <w:tcPr>
            <w:tcW w:w="1545" w:type="dxa"/>
            <w:vMerge w:val="restart"/>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泄露、渗漏、溢出</w:t>
            </w:r>
          </w:p>
        </w:tc>
        <w:tc>
          <w:tcPr>
            <w:tcW w:w="4686" w:type="dxa"/>
            <w:vMerge w:val="restart"/>
            <w:vAlign w:val="center"/>
          </w:tcPr>
          <w:p>
            <w:pPr>
              <w:pStyle w:val="2"/>
              <w:jc w:val="center"/>
              <w:rPr>
                <w:rFonts w:hint="eastAsia" w:ascii="Times New Roman" w:hAnsi="Times New Roman" w:eastAsia="宋体" w:cs="Times New Roman"/>
                <w:sz w:val="24"/>
                <w:szCs w:val="24"/>
                <w:vertAlign w:val="baseline"/>
                <w:lang w:val="en-US" w:eastAsia="zh-CN"/>
              </w:rPr>
            </w:pPr>
            <w:r>
              <w:rPr>
                <w:rFonts w:hint="default" w:ascii="Times New Roman" w:hAnsi="Times New Roman" w:eastAsia="宋体"/>
                <w:lang w:val="en-US" w:eastAsia="zh-CN"/>
              </w:rPr>
              <w:drawing>
                <wp:inline distT="0" distB="0" distL="114300" distR="114300">
                  <wp:extent cx="2730500" cy="1837690"/>
                  <wp:effectExtent l="0" t="0" r="12700" b="10160"/>
                  <wp:docPr id="38" name="图片 38" descr="9704bd39a0382c1cc59082bf7eea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704bd39a0382c1cc59082bf7eeae22"/>
                          <pic:cNvPicPr>
                            <a:picLocks noChangeAspect="1"/>
                          </pic:cNvPicPr>
                        </pic:nvPicPr>
                        <pic:blipFill>
                          <a:blip r:embed="rId27"/>
                          <a:stretch>
                            <a:fillRect/>
                          </a:stretch>
                        </pic:blipFill>
                        <pic:spPr>
                          <a:xfrm>
                            <a:off x="0" y="0"/>
                            <a:ext cx="2730500" cy="1837690"/>
                          </a:xfrm>
                          <a:prstGeom prst="rect">
                            <a:avLst/>
                          </a:prstGeom>
                        </pic:spPr>
                      </pic:pic>
                    </a:graphicData>
                  </a:graphic>
                </wp:inline>
              </w:drawing>
            </w:r>
            <w:r>
              <w:rPr>
                <w:rFonts w:hint="eastAsia" w:ascii="Times New Roman" w:hAnsi="Times New Roman" w:eastAsia="宋体" w:cs="Times New Roman"/>
                <w:kern w:val="2"/>
                <w:sz w:val="24"/>
                <w:szCs w:val="24"/>
                <w:lang w:val="en-US" w:eastAsia="zh-CN" w:bidi="ar-SA"/>
              </w:rPr>
              <w:drawing>
                <wp:inline distT="0" distB="0" distL="114300" distR="114300">
                  <wp:extent cx="2700020" cy="1827530"/>
                  <wp:effectExtent l="0" t="0" r="5080" b="1270"/>
                  <wp:docPr id="35" name="图片 35" descr="2030ea7e10a7d025405f079c69b9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30ea7e10a7d025405f079c69b9ecf"/>
                          <pic:cNvPicPr>
                            <a:picLocks noChangeAspect="1"/>
                          </pic:cNvPicPr>
                        </pic:nvPicPr>
                        <pic:blipFill>
                          <a:blip r:embed="rId29"/>
                          <a:stretch>
                            <a:fillRect/>
                          </a:stretch>
                        </pic:blipFill>
                        <pic:spPr>
                          <a:xfrm>
                            <a:off x="0" y="0"/>
                            <a:ext cx="2700020" cy="1827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p>
        </w:tc>
        <w:tc>
          <w:tcPr>
            <w:tcW w:w="87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cs="Times New Roman"/>
                <w:kern w:val="2"/>
                <w:sz w:val="21"/>
                <w:szCs w:val="21"/>
                <w:lang w:val="en-US" w:eastAsia="zh-CN" w:bidi="ar-SA"/>
              </w:rPr>
              <w:t>1B02</w:t>
            </w:r>
          </w:p>
        </w:tc>
        <w:tc>
          <w:tcPr>
            <w:tcW w:w="1909"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rPr>
              <w:t>121° 2'20.91"东  32°32'0.81"北</w:t>
            </w:r>
          </w:p>
        </w:tc>
        <w:tc>
          <w:tcPr>
            <w:tcW w:w="1005"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p>
        </w:tc>
        <w:tc>
          <w:tcPr>
            <w:tcW w:w="1635" w:type="dxa"/>
            <w:vMerge w:val="continue"/>
            <w:vAlign w:val="center"/>
          </w:tcPr>
          <w:p>
            <w:pPr>
              <w:pStyle w:val="2"/>
              <w:jc w:val="center"/>
              <w:rPr>
                <w:rFonts w:hint="eastAsia" w:ascii="Times New Roman" w:hAnsi="Times New Roman" w:eastAsia="宋体" w:cs="Times New Roman"/>
                <w:sz w:val="24"/>
                <w:szCs w:val="24"/>
                <w:vertAlign w:val="baseline"/>
                <w:lang w:val="en-US" w:eastAsia="zh-CN"/>
              </w:rPr>
            </w:pPr>
          </w:p>
        </w:tc>
        <w:tc>
          <w:tcPr>
            <w:tcW w:w="1606" w:type="dxa"/>
            <w:vMerge w:val="continue"/>
            <w:vAlign w:val="center"/>
          </w:tcPr>
          <w:p>
            <w:pPr>
              <w:pStyle w:val="2"/>
              <w:jc w:val="center"/>
              <w:rPr>
                <w:rFonts w:hint="eastAsia" w:ascii="Times New Roman" w:hAnsi="Times New Roman" w:eastAsia="宋体" w:cs="Times New Roman"/>
                <w:sz w:val="24"/>
                <w:szCs w:val="24"/>
                <w:vertAlign w:val="baseline"/>
                <w:lang w:val="en-US" w:eastAsia="zh-CN"/>
              </w:rPr>
            </w:pPr>
          </w:p>
        </w:tc>
        <w:tc>
          <w:tcPr>
            <w:tcW w:w="1545" w:type="dxa"/>
            <w:vMerge w:val="continue"/>
            <w:vAlign w:val="center"/>
          </w:tcPr>
          <w:p>
            <w:pPr>
              <w:pStyle w:val="2"/>
              <w:jc w:val="center"/>
              <w:rPr>
                <w:rFonts w:hint="eastAsia" w:ascii="Times New Roman" w:hAnsi="Times New Roman" w:eastAsia="宋体" w:cs="Times New Roman"/>
                <w:sz w:val="24"/>
                <w:szCs w:val="24"/>
                <w:vertAlign w:val="baseline"/>
                <w:lang w:val="en-US" w:eastAsia="zh-CN"/>
              </w:rPr>
            </w:pPr>
          </w:p>
        </w:tc>
        <w:tc>
          <w:tcPr>
            <w:tcW w:w="4686" w:type="dxa"/>
            <w:vMerge w:val="continue"/>
            <w:vAlign w:val="center"/>
          </w:tcPr>
          <w:p>
            <w:pPr>
              <w:pStyle w:val="2"/>
              <w:jc w:val="center"/>
              <w:rPr>
                <w:rFonts w:hint="eastAsia" w:ascii="Times New Roman" w:hAnsi="Times New Roman" w:eastAsia="宋体" w:cs="Times New Roman"/>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仓库区</w:t>
            </w:r>
          </w:p>
        </w:tc>
        <w:tc>
          <w:tcPr>
            <w:tcW w:w="87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1C01</w:t>
            </w:r>
          </w:p>
        </w:tc>
        <w:tc>
          <w:tcPr>
            <w:tcW w:w="1909"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rPr>
              <w:t>121° 2'20.38"东 32°31'59.17"北</w:t>
            </w:r>
          </w:p>
        </w:tc>
        <w:tc>
          <w:tcPr>
            <w:tcW w:w="100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sz w:val="24"/>
                <w:szCs w:val="24"/>
                <w:vertAlign w:val="baseline"/>
                <w:lang w:val="en-US" w:eastAsia="zh-CN"/>
              </w:rPr>
              <w:t>固废仓库、盐酸罐区</w:t>
            </w:r>
          </w:p>
        </w:tc>
        <w:tc>
          <w:tcPr>
            <w:tcW w:w="1635"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宋体"/>
                <w:sz w:val="24"/>
                <w:szCs w:val="24"/>
                <w:vertAlign w:val="baseline"/>
                <w:lang w:val="en-US" w:eastAsia="zh-CN"/>
              </w:rPr>
              <w:t>盐酸、</w:t>
            </w:r>
            <w:r>
              <w:rPr>
                <w:rFonts w:hint="eastAsia" w:ascii="Times New Roman" w:hAnsi="Times New Roman" w:eastAsia="宋体"/>
                <w:sz w:val="21"/>
                <w:szCs w:val="21"/>
              </w:rPr>
              <w:t>氯化苄</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苯甲醛、</w:t>
            </w:r>
            <w:r>
              <w:rPr>
                <w:rFonts w:hint="eastAsia" w:ascii="Times New Roman" w:hAnsi="Times New Roman" w:eastAsia="宋体"/>
                <w:sz w:val="21"/>
                <w:szCs w:val="21"/>
              </w:rPr>
              <w:t>苯甲酰氯</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甲醇</w:t>
            </w:r>
          </w:p>
        </w:tc>
        <w:tc>
          <w:tcPr>
            <w:tcW w:w="1606"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sz w:val="21"/>
                <w:szCs w:val="21"/>
                <w:lang w:val="en-US" w:eastAsia="zh-CN"/>
              </w:rPr>
              <w:t>pH、</w:t>
            </w:r>
            <w:r>
              <w:rPr>
                <w:rFonts w:hint="eastAsia" w:ascii="Times New Roman" w:hAnsi="Times New Roman" w:eastAsia="宋体"/>
                <w:sz w:val="21"/>
                <w:szCs w:val="21"/>
              </w:rPr>
              <w:t>氯化苄</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苯甲醛、</w:t>
            </w:r>
            <w:r>
              <w:rPr>
                <w:rFonts w:hint="eastAsia" w:ascii="Times New Roman" w:hAnsi="Times New Roman" w:eastAsia="宋体"/>
                <w:sz w:val="21"/>
                <w:szCs w:val="21"/>
              </w:rPr>
              <w:t>苯甲酰氯</w:t>
            </w:r>
            <w:r>
              <w:rPr>
                <w:rFonts w:hint="eastAsia" w:ascii="Times New Roman" w:hAnsi="Times New Roman" w:eastAsia="宋体"/>
                <w:sz w:val="21"/>
                <w:szCs w:val="21"/>
                <w:lang w:eastAsia="zh-CN"/>
              </w:rPr>
              <w:t>、</w:t>
            </w:r>
            <w:r>
              <w:rPr>
                <w:rFonts w:hint="eastAsia" w:ascii="Times New Roman" w:hAnsi="Times New Roman" w:eastAsia="宋体"/>
                <w:sz w:val="21"/>
                <w:szCs w:val="21"/>
                <w:lang w:val="en-US" w:eastAsia="zh-CN"/>
              </w:rPr>
              <w:t>甲醇</w:t>
            </w:r>
          </w:p>
        </w:tc>
        <w:tc>
          <w:tcPr>
            <w:tcW w:w="1545"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泄露、渗漏、溢出</w:t>
            </w:r>
          </w:p>
        </w:tc>
        <w:tc>
          <w:tcPr>
            <w:tcW w:w="4686"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lang w:val="en-US" w:eastAsia="zh-CN"/>
              </w:rPr>
              <w:drawing>
                <wp:inline distT="0" distB="0" distL="114300" distR="114300">
                  <wp:extent cx="2721610" cy="2233930"/>
                  <wp:effectExtent l="0" t="0" r="2540" b="13970"/>
                  <wp:docPr id="34" name="图片 34" descr="e25ebbd6277c24be13023422e0e46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5ebbd6277c24be13023422e0e46dd"/>
                          <pic:cNvPicPr>
                            <a:picLocks noChangeAspect="1"/>
                          </pic:cNvPicPr>
                        </pic:nvPicPr>
                        <pic:blipFill>
                          <a:blip r:embed="rId33"/>
                          <a:stretch>
                            <a:fillRect/>
                          </a:stretch>
                        </pic:blipFill>
                        <pic:spPr>
                          <a:xfrm>
                            <a:off x="0" y="0"/>
                            <a:ext cx="2721610" cy="22339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污水处理区</w:t>
            </w:r>
          </w:p>
        </w:tc>
        <w:tc>
          <w:tcPr>
            <w:tcW w:w="874"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w w:val="99"/>
                <w:kern w:val="2"/>
                <w:sz w:val="21"/>
                <w:szCs w:val="22"/>
                <w:lang w:val="en-US" w:eastAsia="zh-CN" w:bidi="zh-CN"/>
              </w:rPr>
            </w:pPr>
            <w:r>
              <w:rPr>
                <w:rFonts w:hint="eastAsia" w:ascii="Times New Roman" w:hAnsi="Times New Roman" w:eastAsia="宋体"/>
                <w:w w:val="99"/>
                <w:sz w:val="21"/>
                <w:lang w:val="en-US" w:eastAsia="zh-CN"/>
              </w:rPr>
              <w:t>1D01</w:t>
            </w:r>
          </w:p>
        </w:tc>
        <w:tc>
          <w:tcPr>
            <w:tcW w:w="1909" w:type="dxa"/>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宋体"/>
                <w:kern w:val="2"/>
                <w:sz w:val="21"/>
                <w:szCs w:val="22"/>
                <w:lang w:val="en-US" w:eastAsia="zh-CN" w:bidi="zh-CN"/>
              </w:rPr>
            </w:pPr>
            <w:r>
              <w:rPr>
                <w:rFonts w:hint="eastAsia" w:ascii="Times New Roman" w:hAnsi="Times New Roman" w:eastAsia="宋体"/>
                <w:sz w:val="21"/>
                <w:lang w:val="en-US" w:eastAsia="zh-CN"/>
              </w:rPr>
              <w:t>121° 2'25.62"东 32°32'3.27"北</w:t>
            </w:r>
          </w:p>
        </w:tc>
        <w:tc>
          <w:tcPr>
            <w:tcW w:w="100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宋体"/>
                <w:color w:val="000000"/>
                <w:kern w:val="0"/>
                <w:sz w:val="24"/>
                <w:szCs w:val="24"/>
                <w:lang w:val="en-US" w:eastAsia="zh-CN" w:bidi="ar"/>
              </w:rPr>
            </w:pPr>
            <w:r>
              <w:rPr>
                <w:rFonts w:hint="eastAsia" w:ascii="Times New Roman" w:hAnsi="Times New Roman" w:eastAsia="宋体" w:cs="宋体"/>
                <w:color w:val="000000"/>
                <w:kern w:val="0"/>
                <w:sz w:val="24"/>
                <w:szCs w:val="24"/>
                <w:lang w:val="en-US" w:eastAsia="zh-CN" w:bidi="ar"/>
              </w:rPr>
              <w:t>污水处理站、油炉房</w:t>
            </w:r>
          </w:p>
        </w:tc>
        <w:tc>
          <w:tcPr>
            <w:tcW w:w="1635" w:type="dxa"/>
            <w:vAlign w:val="center"/>
          </w:tcPr>
          <w:p>
            <w:pPr>
              <w:pStyle w:val="2"/>
              <w:jc w:val="center"/>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bCs/>
                <w:sz w:val="21"/>
                <w:szCs w:val="21"/>
                <w:vertAlign w:val="baseline"/>
                <w:lang w:val="en-US" w:eastAsia="zh-CN"/>
              </w:rPr>
              <w:t>COD、SS、氨氮、总磷、盐分、甲醛、总石油烃</w:t>
            </w:r>
          </w:p>
        </w:tc>
        <w:tc>
          <w:tcPr>
            <w:tcW w:w="1606"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sz w:val="21"/>
                <w:szCs w:val="21"/>
                <w:lang w:val="en-US" w:eastAsia="zh-CN"/>
              </w:rPr>
              <w:t>pH、</w:t>
            </w:r>
            <w:r>
              <w:rPr>
                <w:rFonts w:hint="eastAsia" w:ascii="Times New Roman" w:hAnsi="Times New Roman" w:eastAsia="宋体" w:cs="Times New Roman"/>
                <w:bCs/>
                <w:sz w:val="21"/>
                <w:szCs w:val="21"/>
                <w:vertAlign w:val="baseline"/>
                <w:lang w:val="en-US" w:eastAsia="zh-CN"/>
              </w:rPr>
              <w:t>甲醛、总石油烃</w:t>
            </w:r>
          </w:p>
        </w:tc>
        <w:tc>
          <w:tcPr>
            <w:tcW w:w="1545"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泄露、渗漏、溢出</w:t>
            </w:r>
          </w:p>
        </w:tc>
        <w:tc>
          <w:tcPr>
            <w:tcW w:w="4686" w:type="dxa"/>
            <w:vAlign w:val="center"/>
          </w:tcPr>
          <w:p>
            <w:pPr>
              <w:pStyle w:val="2"/>
              <w:jc w:val="center"/>
              <w:rPr>
                <w:rFonts w:hint="eastAsia" w:ascii="Times New Roman" w:hAnsi="Times New Roman" w:eastAsia="宋体" w:cs="Times New Roman"/>
                <w:sz w:val="24"/>
                <w:szCs w:val="24"/>
                <w:vertAlign w:val="baseline"/>
                <w:lang w:val="en-US" w:eastAsia="zh-CN"/>
              </w:rPr>
            </w:pPr>
            <w:r>
              <w:rPr>
                <w:rFonts w:hint="default" w:ascii="Times New Roman" w:hAnsi="Times New Roman" w:eastAsia="宋体" w:cs="宋体"/>
                <w:color w:val="000000"/>
                <w:kern w:val="0"/>
                <w:sz w:val="24"/>
                <w:szCs w:val="24"/>
                <w:lang w:val="en-US" w:eastAsia="zh-CN" w:bidi="ar"/>
              </w:rPr>
              <w:drawing>
                <wp:inline distT="0" distB="0" distL="114300" distR="114300">
                  <wp:extent cx="2827655" cy="1589405"/>
                  <wp:effectExtent l="0" t="0" r="10795" b="10795"/>
                  <wp:docPr id="33" name="图片 33" descr="877bef21aae6929fe7d171d7861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77bef21aae6929fe7d171d78617843"/>
                          <pic:cNvPicPr>
                            <a:picLocks noChangeAspect="1"/>
                          </pic:cNvPicPr>
                        </pic:nvPicPr>
                        <pic:blipFill>
                          <a:blip r:embed="rId32"/>
                          <a:stretch>
                            <a:fillRect/>
                          </a:stretch>
                        </pic:blipFill>
                        <pic:spPr>
                          <a:xfrm>
                            <a:off x="0" y="0"/>
                            <a:ext cx="2827655" cy="1589405"/>
                          </a:xfrm>
                          <a:prstGeom prst="rect">
                            <a:avLst/>
                          </a:prstGeom>
                        </pic:spPr>
                      </pic:pic>
                    </a:graphicData>
                  </a:graphic>
                </wp:inline>
              </w:drawing>
            </w:r>
          </w:p>
        </w:tc>
      </w:tr>
    </w:tbl>
    <w:p>
      <w:pPr>
        <w:pStyle w:val="2"/>
        <w:rPr>
          <w:rFonts w:hint="default" w:ascii="Times New Roman" w:hAnsi="Times New Roman" w:eastAsia="宋体" w:cs="Times New Roman"/>
          <w:sz w:val="24"/>
          <w:szCs w:val="2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pStyle w:val="2"/>
        <w:outlineLvl w:val="0"/>
        <w:rPr>
          <w:rFonts w:hint="eastAsia" w:ascii="Times New Roman" w:hAnsi="Times New Roman" w:eastAsia="宋体" w:cs="Times New Roman"/>
          <w:b/>
          <w:bCs/>
          <w:sz w:val="24"/>
          <w:szCs w:val="24"/>
          <w:highlight w:val="none"/>
          <w:lang w:val="en-US" w:eastAsia="zh-CN"/>
        </w:rPr>
      </w:pPr>
      <w:bookmarkStart w:id="57" w:name="_Toc997"/>
      <w:r>
        <w:rPr>
          <w:rFonts w:hint="eastAsia" w:ascii="Times New Roman" w:hAnsi="Times New Roman" w:eastAsia="宋体" w:cs="Times New Roman"/>
          <w:b/>
          <w:bCs/>
          <w:sz w:val="24"/>
          <w:szCs w:val="24"/>
          <w:highlight w:val="none"/>
          <w:lang w:val="en-US" w:eastAsia="zh-CN"/>
        </w:rPr>
        <w:t>附件2  样品分析测试报告</w:t>
      </w:r>
      <w:bookmarkEnd w:id="57"/>
    </w:p>
    <w:p>
      <w:pPr>
        <w:pStyle w:val="2"/>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见附件。</w:t>
      </w:r>
    </w:p>
    <w:p>
      <w:pPr>
        <w:pStyle w:val="2"/>
        <w:outlineLvl w:val="0"/>
        <w:rPr>
          <w:rFonts w:hint="eastAsia" w:ascii="Times New Roman" w:hAnsi="Times New Roman" w:eastAsia="宋体" w:cs="Times New Roman"/>
          <w:b/>
          <w:bCs/>
          <w:sz w:val="24"/>
          <w:szCs w:val="24"/>
          <w:highlight w:val="none"/>
          <w:lang w:val="en-US" w:eastAsia="zh-CN"/>
        </w:rPr>
      </w:pPr>
      <w:bookmarkStart w:id="58" w:name="_Toc8545"/>
      <w:r>
        <w:rPr>
          <w:rFonts w:hint="eastAsia" w:ascii="Times New Roman" w:hAnsi="Times New Roman" w:eastAsia="宋体" w:cs="Times New Roman"/>
          <w:b/>
          <w:bCs/>
          <w:sz w:val="24"/>
          <w:szCs w:val="24"/>
          <w:highlight w:val="none"/>
          <w:lang w:val="en-US" w:eastAsia="zh-CN"/>
        </w:rPr>
        <w:t>附件3  采样图片</w:t>
      </w:r>
      <w:bookmarkEnd w:id="58"/>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2"/>
              <w:jc w:val="center"/>
              <w:outlineLvl w:val="9"/>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drawing>
                <wp:inline distT="0" distB="0" distL="114300" distR="114300">
                  <wp:extent cx="2561590" cy="3415030"/>
                  <wp:effectExtent l="0" t="0" r="10160" b="13970"/>
                  <wp:docPr id="5" name="图片 5" descr="微信图片_2021072313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723133917"/>
                          <pic:cNvPicPr>
                            <a:picLocks noChangeAspect="1"/>
                          </pic:cNvPicPr>
                        </pic:nvPicPr>
                        <pic:blipFill>
                          <a:blip r:embed="rId36"/>
                          <a:stretch>
                            <a:fillRect/>
                          </a:stretch>
                        </pic:blipFill>
                        <pic:spPr>
                          <a:xfrm>
                            <a:off x="0" y="0"/>
                            <a:ext cx="2561590" cy="3415030"/>
                          </a:xfrm>
                          <a:prstGeom prst="rect">
                            <a:avLst/>
                          </a:prstGeom>
                        </pic:spPr>
                      </pic:pic>
                    </a:graphicData>
                  </a:graphic>
                </wp:inline>
              </w:drawing>
            </w:r>
          </w:p>
        </w:tc>
        <w:tc>
          <w:tcPr>
            <w:tcW w:w="4261" w:type="dxa"/>
            <w:vAlign w:val="center"/>
          </w:tcPr>
          <w:p>
            <w:pPr>
              <w:pStyle w:val="2"/>
              <w:jc w:val="center"/>
              <w:outlineLvl w:val="9"/>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drawing>
                <wp:inline distT="0" distB="0" distL="114300" distR="114300">
                  <wp:extent cx="2561590" cy="3415030"/>
                  <wp:effectExtent l="0" t="0" r="10160" b="13970"/>
                  <wp:docPr id="6" name="图片 6" descr="微信图片_2021072313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723133924"/>
                          <pic:cNvPicPr>
                            <a:picLocks noChangeAspect="1"/>
                          </pic:cNvPicPr>
                        </pic:nvPicPr>
                        <pic:blipFill>
                          <a:blip r:embed="rId37"/>
                          <a:stretch>
                            <a:fillRect/>
                          </a:stretch>
                        </pic:blipFill>
                        <pic:spPr>
                          <a:xfrm>
                            <a:off x="0" y="0"/>
                            <a:ext cx="2561590" cy="3415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2"/>
              <w:jc w:val="center"/>
              <w:outlineLvl w:val="9"/>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drawing>
                <wp:inline distT="0" distB="0" distL="114300" distR="114300">
                  <wp:extent cx="2561590" cy="3415030"/>
                  <wp:effectExtent l="0" t="0" r="10160" b="13970"/>
                  <wp:docPr id="8" name="图片 8" descr="微信图片_2021072313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23133928"/>
                          <pic:cNvPicPr>
                            <a:picLocks noChangeAspect="1"/>
                          </pic:cNvPicPr>
                        </pic:nvPicPr>
                        <pic:blipFill>
                          <a:blip r:embed="rId38"/>
                          <a:stretch>
                            <a:fillRect/>
                          </a:stretch>
                        </pic:blipFill>
                        <pic:spPr>
                          <a:xfrm>
                            <a:off x="0" y="0"/>
                            <a:ext cx="2561590" cy="3415030"/>
                          </a:xfrm>
                          <a:prstGeom prst="rect">
                            <a:avLst/>
                          </a:prstGeom>
                        </pic:spPr>
                      </pic:pic>
                    </a:graphicData>
                  </a:graphic>
                </wp:inline>
              </w:drawing>
            </w:r>
          </w:p>
        </w:tc>
        <w:tc>
          <w:tcPr>
            <w:tcW w:w="4261" w:type="dxa"/>
            <w:vAlign w:val="center"/>
          </w:tcPr>
          <w:p>
            <w:pPr>
              <w:pStyle w:val="2"/>
              <w:jc w:val="center"/>
              <w:outlineLvl w:val="9"/>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drawing>
                <wp:inline distT="0" distB="0" distL="114300" distR="114300">
                  <wp:extent cx="2561590" cy="3415030"/>
                  <wp:effectExtent l="0" t="0" r="10160" b="13970"/>
                  <wp:docPr id="9" name="图片 9" descr="微信图片_2021072313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23133933"/>
                          <pic:cNvPicPr>
                            <a:picLocks noChangeAspect="1"/>
                          </pic:cNvPicPr>
                        </pic:nvPicPr>
                        <pic:blipFill>
                          <a:blip r:embed="rId39"/>
                          <a:stretch>
                            <a:fillRect/>
                          </a:stretch>
                        </pic:blipFill>
                        <pic:spPr>
                          <a:xfrm>
                            <a:off x="0" y="0"/>
                            <a:ext cx="2561590" cy="3415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vAlign w:val="center"/>
          </w:tcPr>
          <w:p>
            <w:pPr>
              <w:pStyle w:val="2"/>
              <w:jc w:val="center"/>
              <w:outlineLvl w:val="9"/>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drawing>
                <wp:inline distT="0" distB="0" distL="114300" distR="114300">
                  <wp:extent cx="2561590" cy="3415030"/>
                  <wp:effectExtent l="0" t="0" r="10160" b="13970"/>
                  <wp:docPr id="10" name="图片 10" descr="微信图片_2021072313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23133950"/>
                          <pic:cNvPicPr>
                            <a:picLocks noChangeAspect="1"/>
                          </pic:cNvPicPr>
                        </pic:nvPicPr>
                        <pic:blipFill>
                          <a:blip r:embed="rId40"/>
                          <a:stretch>
                            <a:fillRect/>
                          </a:stretch>
                        </pic:blipFill>
                        <pic:spPr>
                          <a:xfrm>
                            <a:off x="0" y="0"/>
                            <a:ext cx="2561590" cy="3415030"/>
                          </a:xfrm>
                          <a:prstGeom prst="rect">
                            <a:avLst/>
                          </a:prstGeom>
                        </pic:spPr>
                      </pic:pic>
                    </a:graphicData>
                  </a:graphic>
                </wp:inline>
              </w:drawing>
            </w:r>
          </w:p>
        </w:tc>
        <w:tc>
          <w:tcPr>
            <w:tcW w:w="4261" w:type="dxa"/>
            <w:vAlign w:val="center"/>
          </w:tcPr>
          <w:p>
            <w:pPr>
              <w:pStyle w:val="2"/>
              <w:jc w:val="center"/>
              <w:outlineLvl w:val="9"/>
              <w:rPr>
                <w:rFonts w:hint="default" w:ascii="Times New Roman" w:hAnsi="Times New Roman" w:eastAsia="宋体" w:cs="Times New Roman"/>
                <w:b/>
                <w:bCs/>
                <w:sz w:val="24"/>
                <w:szCs w:val="24"/>
                <w:vertAlign w:val="baseline"/>
                <w:lang w:val="en-US" w:eastAsia="zh-CN"/>
              </w:rPr>
            </w:pPr>
          </w:p>
        </w:tc>
      </w:tr>
    </w:tbl>
    <w:p>
      <w:pPr>
        <w:pStyle w:val="2"/>
        <w:outlineLvl w:val="9"/>
        <w:rPr>
          <w:rFonts w:hint="default" w:ascii="Times New Roman" w:hAnsi="Times New Roman" w:eastAsia="宋体" w:cs="Times New Roman"/>
          <w:b/>
          <w:bCs/>
          <w:sz w:val="24"/>
          <w:szCs w:val="24"/>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eastAsiaTheme="minorEastAsia"/>
        <w:lang w:val="en-US" w:eastAsia="zh-CN"/>
      </w:rPr>
    </w:pPr>
    <w:sdt>
      <w:sdtPr>
        <w:id w:val="655581687"/>
      </w:sdt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w:t>
        </w:r>
        <w:r>
          <w:rPr>
            <w:rFonts w:ascii="Times New Roman" w:hAnsi="Times New Roman" w:cs="Times New Roman"/>
            <w:sz w:val="21"/>
            <w:szCs w:val="21"/>
          </w:rPr>
          <w:fldChar w:fldCharType="end"/>
        </w:r>
      </w:sdtContent>
    </w:sdt>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5581687"/>
    </w:sdtPr>
    <w:sdtContent>
      <w:p>
        <w:pPr>
          <w:pStyle w:val="13"/>
          <w:jc w:val="cente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10</w:t>
        </w:r>
        <w:r>
          <w:rPr>
            <w:rFonts w:ascii="Times New Roman" w:hAnsi="Times New Roman" w:cs="Times New Roman"/>
            <w:sz w:val="21"/>
            <w:szCs w:val="21"/>
          </w:rPr>
          <w:fldChar w:fldCharType="end"/>
        </w:r>
      </w:p>
    </w:sdtContent>
  </w:sdt>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55F57D"/>
    <w:multiLevelType w:val="singleLevel"/>
    <w:tmpl w:val="8D55F57D"/>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
    <w:nsid w:val="EB2C084D"/>
    <w:multiLevelType w:val="singleLevel"/>
    <w:tmpl w:val="EB2C084D"/>
    <w:lvl w:ilvl="0" w:tentative="0">
      <w:start w:val="1"/>
      <w:numFmt w:val="decimal"/>
      <w:suff w:val="nothing"/>
      <w:lvlText w:val="%1）"/>
      <w:lvlJc w:val="left"/>
    </w:lvl>
  </w:abstractNum>
  <w:abstractNum w:abstractNumId="2">
    <w:nsid w:val="45AA4A4F"/>
    <w:multiLevelType w:val="singleLevel"/>
    <w:tmpl w:val="45AA4A4F"/>
    <w:lvl w:ilvl="0" w:tentative="0">
      <w:start w:val="1"/>
      <w:numFmt w:val="decimal"/>
      <w:suff w:val="nothing"/>
      <w:lvlText w:val="%1）"/>
      <w:lvlJc w:val="left"/>
    </w:lvl>
  </w:abstractNum>
  <w:abstractNum w:abstractNumId="3">
    <w:nsid w:val="471F3484"/>
    <w:multiLevelType w:val="singleLevel"/>
    <w:tmpl w:val="471F3484"/>
    <w:lvl w:ilvl="0" w:tentative="0">
      <w:start w:val="1"/>
      <w:numFmt w:val="decimal"/>
      <w:lvlText w:val="%1."/>
      <w:lvlJc w:val="left"/>
      <w:pPr>
        <w:tabs>
          <w:tab w:val="left" w:pos="312"/>
        </w:tabs>
      </w:pPr>
    </w:lvl>
  </w:abstractNum>
  <w:abstractNum w:abstractNumId="4">
    <w:nsid w:val="4C96D8D5"/>
    <w:multiLevelType w:val="singleLevel"/>
    <w:tmpl w:val="4C96D8D5"/>
    <w:lvl w:ilvl="0" w:tentative="0">
      <w:start w:val="1"/>
      <w:numFmt w:val="decimal"/>
      <w:suff w:val="nothing"/>
      <w:lvlText w:val="（%1）"/>
      <w:lvlJc w:val="left"/>
    </w:lvl>
  </w:abstractNum>
  <w:abstractNum w:abstractNumId="5">
    <w:nsid w:val="53663BF7"/>
    <w:multiLevelType w:val="multilevel"/>
    <w:tmpl w:val="53663BF7"/>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57ADC"/>
    <w:rsid w:val="00010008"/>
    <w:rsid w:val="000275D6"/>
    <w:rsid w:val="00054DCE"/>
    <w:rsid w:val="00063C66"/>
    <w:rsid w:val="000F25C0"/>
    <w:rsid w:val="0011450D"/>
    <w:rsid w:val="00117839"/>
    <w:rsid w:val="001757A0"/>
    <w:rsid w:val="0018192A"/>
    <w:rsid w:val="001F4C77"/>
    <w:rsid w:val="00235EA2"/>
    <w:rsid w:val="00237404"/>
    <w:rsid w:val="002459C5"/>
    <w:rsid w:val="002460A4"/>
    <w:rsid w:val="00263209"/>
    <w:rsid w:val="0026789F"/>
    <w:rsid w:val="00274DDB"/>
    <w:rsid w:val="002C03CF"/>
    <w:rsid w:val="002E617E"/>
    <w:rsid w:val="002E7777"/>
    <w:rsid w:val="002F01E2"/>
    <w:rsid w:val="00327E33"/>
    <w:rsid w:val="00350108"/>
    <w:rsid w:val="003635D7"/>
    <w:rsid w:val="00367B33"/>
    <w:rsid w:val="00372B4A"/>
    <w:rsid w:val="00384B71"/>
    <w:rsid w:val="00391159"/>
    <w:rsid w:val="003B21B5"/>
    <w:rsid w:val="003B2B82"/>
    <w:rsid w:val="003E336F"/>
    <w:rsid w:val="003F46F0"/>
    <w:rsid w:val="003F7BB3"/>
    <w:rsid w:val="003F7C40"/>
    <w:rsid w:val="00412858"/>
    <w:rsid w:val="004336B3"/>
    <w:rsid w:val="00435525"/>
    <w:rsid w:val="00490AE7"/>
    <w:rsid w:val="004C41FE"/>
    <w:rsid w:val="004C5B99"/>
    <w:rsid w:val="004E00D6"/>
    <w:rsid w:val="004E12B1"/>
    <w:rsid w:val="0054023F"/>
    <w:rsid w:val="00577FCF"/>
    <w:rsid w:val="0058618B"/>
    <w:rsid w:val="005B13AF"/>
    <w:rsid w:val="005B414D"/>
    <w:rsid w:val="00613267"/>
    <w:rsid w:val="00630634"/>
    <w:rsid w:val="00635D8B"/>
    <w:rsid w:val="0064200C"/>
    <w:rsid w:val="006B6849"/>
    <w:rsid w:val="006C7546"/>
    <w:rsid w:val="006E2201"/>
    <w:rsid w:val="007017B7"/>
    <w:rsid w:val="00705067"/>
    <w:rsid w:val="00716D48"/>
    <w:rsid w:val="00741807"/>
    <w:rsid w:val="00743FF4"/>
    <w:rsid w:val="00771D7B"/>
    <w:rsid w:val="00784B0D"/>
    <w:rsid w:val="00792F03"/>
    <w:rsid w:val="007D091A"/>
    <w:rsid w:val="007D2D46"/>
    <w:rsid w:val="007D5C75"/>
    <w:rsid w:val="00830BED"/>
    <w:rsid w:val="00865FD6"/>
    <w:rsid w:val="00883AEE"/>
    <w:rsid w:val="00897BA1"/>
    <w:rsid w:val="008A52D2"/>
    <w:rsid w:val="008D162E"/>
    <w:rsid w:val="008D1E14"/>
    <w:rsid w:val="008E4492"/>
    <w:rsid w:val="009043F7"/>
    <w:rsid w:val="009227C9"/>
    <w:rsid w:val="00961E71"/>
    <w:rsid w:val="009C316D"/>
    <w:rsid w:val="009C387E"/>
    <w:rsid w:val="009D3E6B"/>
    <w:rsid w:val="009D5848"/>
    <w:rsid w:val="009F5EC9"/>
    <w:rsid w:val="00A04D60"/>
    <w:rsid w:val="00A50EFE"/>
    <w:rsid w:val="00A65B2F"/>
    <w:rsid w:val="00A72E02"/>
    <w:rsid w:val="00A747E8"/>
    <w:rsid w:val="00A97F23"/>
    <w:rsid w:val="00AB5B4B"/>
    <w:rsid w:val="00AD18BC"/>
    <w:rsid w:val="00AF6A2D"/>
    <w:rsid w:val="00B15491"/>
    <w:rsid w:val="00B31823"/>
    <w:rsid w:val="00B3312E"/>
    <w:rsid w:val="00B35957"/>
    <w:rsid w:val="00B40CBB"/>
    <w:rsid w:val="00B42869"/>
    <w:rsid w:val="00B46E65"/>
    <w:rsid w:val="00B53CCF"/>
    <w:rsid w:val="00B546DD"/>
    <w:rsid w:val="00B8391A"/>
    <w:rsid w:val="00BD050A"/>
    <w:rsid w:val="00BF49AB"/>
    <w:rsid w:val="00C3199E"/>
    <w:rsid w:val="00C45A86"/>
    <w:rsid w:val="00C7043F"/>
    <w:rsid w:val="00C77E6C"/>
    <w:rsid w:val="00C90D98"/>
    <w:rsid w:val="00CB0746"/>
    <w:rsid w:val="00CB5AF5"/>
    <w:rsid w:val="00CC24A7"/>
    <w:rsid w:val="00CC2C4A"/>
    <w:rsid w:val="00CC4C36"/>
    <w:rsid w:val="00CF020B"/>
    <w:rsid w:val="00D003F1"/>
    <w:rsid w:val="00D23FDF"/>
    <w:rsid w:val="00D65CE7"/>
    <w:rsid w:val="00DB4F7D"/>
    <w:rsid w:val="00DE37D0"/>
    <w:rsid w:val="00DF2BB5"/>
    <w:rsid w:val="00E226F6"/>
    <w:rsid w:val="00E34AAB"/>
    <w:rsid w:val="00E451E7"/>
    <w:rsid w:val="00E57ADC"/>
    <w:rsid w:val="00E61218"/>
    <w:rsid w:val="00E642E8"/>
    <w:rsid w:val="00E77C2A"/>
    <w:rsid w:val="00E92B13"/>
    <w:rsid w:val="00EA0376"/>
    <w:rsid w:val="00ED39BD"/>
    <w:rsid w:val="00EE723B"/>
    <w:rsid w:val="00F10BD2"/>
    <w:rsid w:val="00F25C47"/>
    <w:rsid w:val="00F366A6"/>
    <w:rsid w:val="00FA3455"/>
    <w:rsid w:val="00FA4D7E"/>
    <w:rsid w:val="00FA5D98"/>
    <w:rsid w:val="00FB04AE"/>
    <w:rsid w:val="00FC4BE4"/>
    <w:rsid w:val="00FD7B53"/>
    <w:rsid w:val="01D1310D"/>
    <w:rsid w:val="02797714"/>
    <w:rsid w:val="041B4586"/>
    <w:rsid w:val="04CC7160"/>
    <w:rsid w:val="05AC0886"/>
    <w:rsid w:val="05AC19F6"/>
    <w:rsid w:val="05DB2F8D"/>
    <w:rsid w:val="06382E0E"/>
    <w:rsid w:val="09020E09"/>
    <w:rsid w:val="0A5D4708"/>
    <w:rsid w:val="0BD42094"/>
    <w:rsid w:val="0C850206"/>
    <w:rsid w:val="0C914646"/>
    <w:rsid w:val="0D5B49C9"/>
    <w:rsid w:val="0D8C2192"/>
    <w:rsid w:val="0E554A2B"/>
    <w:rsid w:val="0EA62D03"/>
    <w:rsid w:val="0F07085E"/>
    <w:rsid w:val="0FC76D12"/>
    <w:rsid w:val="13E2370B"/>
    <w:rsid w:val="140E2110"/>
    <w:rsid w:val="14AE2763"/>
    <w:rsid w:val="14B87257"/>
    <w:rsid w:val="14CA7B38"/>
    <w:rsid w:val="154D1E4C"/>
    <w:rsid w:val="15EB49A5"/>
    <w:rsid w:val="16D32829"/>
    <w:rsid w:val="197B01F7"/>
    <w:rsid w:val="1AF514DF"/>
    <w:rsid w:val="1AFA2857"/>
    <w:rsid w:val="1BBA218C"/>
    <w:rsid w:val="1C8A7891"/>
    <w:rsid w:val="1F084960"/>
    <w:rsid w:val="21544A76"/>
    <w:rsid w:val="216D1245"/>
    <w:rsid w:val="22AD1A3C"/>
    <w:rsid w:val="25A7755B"/>
    <w:rsid w:val="266168A4"/>
    <w:rsid w:val="268C48AB"/>
    <w:rsid w:val="27786F7A"/>
    <w:rsid w:val="28ED0D55"/>
    <w:rsid w:val="2A821A5D"/>
    <w:rsid w:val="2A8B6E6C"/>
    <w:rsid w:val="2D077A89"/>
    <w:rsid w:val="30E95623"/>
    <w:rsid w:val="322F20A4"/>
    <w:rsid w:val="328F51B5"/>
    <w:rsid w:val="368E063C"/>
    <w:rsid w:val="3E5C1903"/>
    <w:rsid w:val="3F2A2E1B"/>
    <w:rsid w:val="404E0688"/>
    <w:rsid w:val="416F5CF5"/>
    <w:rsid w:val="41E00462"/>
    <w:rsid w:val="439707E7"/>
    <w:rsid w:val="454E65FF"/>
    <w:rsid w:val="486400A2"/>
    <w:rsid w:val="4A266102"/>
    <w:rsid w:val="4BB53001"/>
    <w:rsid w:val="4BD827E7"/>
    <w:rsid w:val="51A23302"/>
    <w:rsid w:val="522E0C71"/>
    <w:rsid w:val="53084B69"/>
    <w:rsid w:val="56CD7EEA"/>
    <w:rsid w:val="577C74EA"/>
    <w:rsid w:val="59A762C6"/>
    <w:rsid w:val="59F03A80"/>
    <w:rsid w:val="5AA94320"/>
    <w:rsid w:val="5B957997"/>
    <w:rsid w:val="5C591C5F"/>
    <w:rsid w:val="5CAF74A0"/>
    <w:rsid w:val="5D8D293D"/>
    <w:rsid w:val="5E2318A6"/>
    <w:rsid w:val="60385F29"/>
    <w:rsid w:val="618B3218"/>
    <w:rsid w:val="6202196B"/>
    <w:rsid w:val="6633552E"/>
    <w:rsid w:val="66BD0957"/>
    <w:rsid w:val="68D2608A"/>
    <w:rsid w:val="6CC37961"/>
    <w:rsid w:val="6CD746C6"/>
    <w:rsid w:val="6EF7763F"/>
    <w:rsid w:val="728826C7"/>
    <w:rsid w:val="731D365C"/>
    <w:rsid w:val="73731454"/>
    <w:rsid w:val="763B0C8F"/>
    <w:rsid w:val="77A62809"/>
    <w:rsid w:val="79F17F6F"/>
    <w:rsid w:val="7A516894"/>
    <w:rsid w:val="7AED689A"/>
    <w:rsid w:val="7BC96562"/>
    <w:rsid w:val="7CCE1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宋体" w:hAnsi="宋体" w:eastAsia="宋体" w:cs="宋体"/>
      <w:sz w:val="28"/>
      <w:szCs w:val="28"/>
      <w:lang w:val="zh-CN" w:eastAsia="zh-CN" w:bidi="zh-CN"/>
    </w:rPr>
  </w:style>
  <w:style w:type="paragraph" w:styleId="3">
    <w:name w:val="List Bullet 5"/>
    <w:basedOn w:val="1"/>
    <w:semiHidden/>
    <w:unhideWhenUsed/>
    <w:qFormat/>
    <w:uiPriority w:val="99"/>
    <w:pPr>
      <w:numPr>
        <w:ilvl w:val="0"/>
        <w:numId w:val="1"/>
      </w:numPr>
    </w:p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Body Text Indent"/>
    <w:basedOn w:val="1"/>
    <w:link w:val="35"/>
    <w:qFormat/>
    <w:uiPriority w:val="0"/>
    <w:pPr>
      <w:spacing w:line="500" w:lineRule="exact"/>
      <w:ind w:firstLine="480" w:firstLineChars="200"/>
    </w:pPr>
    <w:rPr>
      <w:rFonts w:ascii="Times New Roman" w:hAnsi="Times New Roman" w:eastAsia="宋体" w:cs="Times New Roman"/>
      <w:sz w:val="24"/>
      <w:szCs w:val="24"/>
    </w:rPr>
  </w:style>
  <w:style w:type="paragraph" w:styleId="9">
    <w:name w:val="toc 3"/>
    <w:basedOn w:val="1"/>
    <w:next w:val="1"/>
    <w:unhideWhenUsed/>
    <w:qFormat/>
    <w:uiPriority w:val="39"/>
    <w:pPr>
      <w:ind w:left="840" w:leftChars="400"/>
    </w:pPr>
  </w:style>
  <w:style w:type="paragraph" w:styleId="10">
    <w:name w:val="Plain Text"/>
    <w:basedOn w:val="1"/>
    <w:qFormat/>
    <w:uiPriority w:val="0"/>
    <w:pPr>
      <w:widowControl w:val="0"/>
      <w:ind w:left="0"/>
      <w:jc w:val="both"/>
    </w:pPr>
    <w:rPr>
      <w:rFonts w:ascii="宋体" w:hAnsi="Courier New"/>
      <w:spacing w:val="0"/>
      <w:kern w:val="2"/>
      <w:sz w:val="21"/>
      <w:lang w:bidi="ar-SA"/>
    </w:rPr>
  </w:style>
  <w:style w:type="paragraph" w:styleId="11">
    <w:name w:val="Date"/>
    <w:basedOn w:val="1"/>
    <w:next w:val="1"/>
    <w:qFormat/>
    <w:uiPriority w:val="0"/>
    <w:pPr>
      <w:ind w:left="100" w:leftChars="2500"/>
    </w:pPr>
    <w:rPr>
      <w:rFonts w:ascii="Times New Roman" w:hAnsi="Times New Roman" w:eastAsia="宋体" w:cs="Times New Roman"/>
      <w:szCs w:val="24"/>
    </w:rPr>
  </w:style>
  <w:style w:type="paragraph" w:styleId="12">
    <w:name w:val="Body Text Indent 2"/>
    <w:basedOn w:val="1"/>
    <w:qFormat/>
    <w:uiPriority w:val="0"/>
    <w:pPr>
      <w:ind w:firstLine="560" w:firstLineChars="200"/>
    </w:pPr>
    <w:rPr>
      <w:color w:val="008080"/>
    </w:rPr>
  </w:style>
  <w:style w:type="paragraph" w:styleId="13">
    <w:name w:val="footer"/>
    <w:basedOn w:val="1"/>
    <w:link w:val="26"/>
    <w:unhideWhenUsed/>
    <w:qFormat/>
    <w:uiPriority w:val="99"/>
    <w:pPr>
      <w:tabs>
        <w:tab w:val="center" w:pos="4153"/>
        <w:tab w:val="right" w:pos="8306"/>
      </w:tabs>
      <w:snapToGrid w:val="0"/>
      <w:jc w:val="left"/>
    </w:pPr>
    <w:rPr>
      <w:sz w:val="18"/>
      <w:szCs w:val="18"/>
    </w:rPr>
  </w:style>
  <w:style w:type="paragraph" w:styleId="14">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right" w:leader="dot" w:pos="8296"/>
      </w:tabs>
      <w:spacing w:line="360" w:lineRule="auto"/>
    </w:pPr>
    <w:rPr>
      <w:rFonts w:ascii="Times New Roman" w:hAnsi="Times New Roman" w:cs="Times New Roman"/>
      <w:b/>
    </w:rPr>
  </w:style>
  <w:style w:type="paragraph" w:styleId="16">
    <w:name w:val="footnote text"/>
    <w:basedOn w:val="1"/>
    <w:semiHidden/>
    <w:unhideWhenUsed/>
    <w:qFormat/>
    <w:uiPriority w:val="99"/>
    <w:pPr>
      <w:snapToGrid w:val="0"/>
      <w:jc w:val="left"/>
    </w:pPr>
    <w:rPr>
      <w:sz w:val="18"/>
    </w:r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index 1"/>
    <w:basedOn w:val="1"/>
    <w:next w:val="1"/>
    <w:qFormat/>
    <w:uiPriority w:val="0"/>
    <w:pPr>
      <w:spacing w:line="240" w:lineRule="exact"/>
    </w:pPr>
    <w:rPr>
      <w:rFonts w:ascii="Times New Roman" w:hAnsi="Times New Roman" w:eastAsia="宋体" w:cs="Times New Roman"/>
      <w:spacing w:val="20"/>
      <w:kern w:val="0"/>
      <w:szCs w:val="24"/>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2"/>
    <w:unhideWhenUsed/>
    <w:qFormat/>
    <w:uiPriority w:val="99"/>
    <w:rPr>
      <w:color w:val="0563C1" w:themeColor="hyperlink"/>
      <w:u w:val="single"/>
    </w:rPr>
  </w:style>
  <w:style w:type="character" w:styleId="24">
    <w:name w:val="footnote reference"/>
    <w:basedOn w:val="22"/>
    <w:semiHidden/>
    <w:unhideWhenUsed/>
    <w:qFormat/>
    <w:uiPriority w:val="99"/>
    <w:rPr>
      <w:vertAlign w:val="superscript"/>
    </w:rPr>
  </w:style>
  <w:style w:type="character" w:customStyle="1" w:styleId="25">
    <w:name w:val="页眉 Char"/>
    <w:basedOn w:val="22"/>
    <w:link w:val="14"/>
    <w:qFormat/>
    <w:uiPriority w:val="99"/>
    <w:rPr>
      <w:sz w:val="18"/>
      <w:szCs w:val="18"/>
    </w:rPr>
  </w:style>
  <w:style w:type="character" w:customStyle="1" w:styleId="26">
    <w:name w:val="页脚 Char"/>
    <w:basedOn w:val="22"/>
    <w:link w:val="13"/>
    <w:qFormat/>
    <w:uiPriority w:val="99"/>
    <w:rPr>
      <w:sz w:val="18"/>
      <w:szCs w:val="18"/>
    </w:rPr>
  </w:style>
  <w:style w:type="character" w:customStyle="1" w:styleId="27">
    <w:name w:val="标题 1 Char"/>
    <w:basedOn w:val="22"/>
    <w:link w:val="4"/>
    <w:qFormat/>
    <w:uiPriority w:val="9"/>
    <w:rPr>
      <w:b/>
      <w:bCs/>
      <w:kern w:val="44"/>
      <w:sz w:val="44"/>
      <w:szCs w:val="44"/>
    </w:rPr>
  </w:style>
  <w:style w:type="character" w:customStyle="1" w:styleId="28">
    <w:name w:val="标题 2 Char"/>
    <w:basedOn w:val="22"/>
    <w:link w:val="5"/>
    <w:qFormat/>
    <w:uiPriority w:val="9"/>
    <w:rPr>
      <w:rFonts w:asciiTheme="majorHAnsi" w:hAnsiTheme="majorHAnsi" w:eastAsiaTheme="majorEastAsia" w:cstheme="majorBidi"/>
      <w:b/>
      <w:bCs/>
      <w:sz w:val="32"/>
      <w:szCs w:val="32"/>
    </w:rPr>
  </w:style>
  <w:style w:type="character" w:customStyle="1" w:styleId="29">
    <w:name w:val="标题 3 Char"/>
    <w:basedOn w:val="22"/>
    <w:link w:val="6"/>
    <w:qFormat/>
    <w:uiPriority w:val="9"/>
    <w:rPr>
      <w:b/>
      <w:bCs/>
      <w:sz w:val="32"/>
      <w:szCs w:val="32"/>
    </w:rPr>
  </w:style>
  <w:style w:type="paragraph" w:customStyle="1" w:styleId="30">
    <w:name w:val="样式132"/>
    <w:basedOn w:val="1"/>
    <w:qFormat/>
    <w:uiPriority w:val="0"/>
    <w:pPr>
      <w:tabs>
        <w:tab w:val="left" w:pos="4305"/>
      </w:tabs>
      <w:adjustRightInd w:val="0"/>
      <w:snapToGrid w:val="0"/>
      <w:jc w:val="center"/>
    </w:pPr>
    <w:rPr>
      <w:rFonts w:ascii="宋体" w:hAnsi="宋体" w:eastAsia="宋体" w:cs="Times New Roman"/>
      <w:b/>
      <w:sz w:val="24"/>
      <w:szCs w:val="20"/>
    </w:rPr>
  </w:style>
  <w:style w:type="character" w:customStyle="1" w:styleId="31">
    <w:name w:val="新正文 Char Char"/>
    <w:link w:val="32"/>
    <w:qFormat/>
    <w:uiPriority w:val="0"/>
    <w:rPr>
      <w:rFonts w:ascii="仿宋_GB2312" w:eastAsia="仿宋_GB2312"/>
      <w:bCs/>
      <w:sz w:val="28"/>
    </w:rPr>
  </w:style>
  <w:style w:type="paragraph" w:customStyle="1" w:styleId="32">
    <w:name w:val="新正文"/>
    <w:basedOn w:val="1"/>
    <w:link w:val="31"/>
    <w:qFormat/>
    <w:uiPriority w:val="0"/>
    <w:pPr>
      <w:spacing w:line="480" w:lineRule="exact"/>
      <w:ind w:firstLine="567"/>
    </w:pPr>
    <w:rPr>
      <w:rFonts w:ascii="仿宋_GB2312" w:eastAsia="仿宋_GB2312"/>
      <w:bCs/>
      <w:sz w:val="28"/>
    </w:rPr>
  </w:style>
  <w:style w:type="paragraph" w:customStyle="1" w:styleId="33">
    <w:name w:val="列表段落1"/>
    <w:basedOn w:val="1"/>
    <w:qFormat/>
    <w:uiPriority w:val="34"/>
    <w:pPr>
      <w:ind w:firstLine="420" w:firstLineChars="200"/>
    </w:pPr>
  </w:style>
  <w:style w:type="paragraph" w:customStyle="1" w:styleId="34">
    <w:name w:val="字元 字元1"/>
    <w:basedOn w:val="1"/>
    <w:qFormat/>
    <w:uiPriority w:val="0"/>
    <w:pPr>
      <w:snapToGrid w:val="0"/>
      <w:spacing w:line="360" w:lineRule="auto"/>
      <w:ind w:firstLine="200" w:firstLineChars="200"/>
    </w:pPr>
    <w:rPr>
      <w:rFonts w:ascii="Times New Roman" w:hAnsi="Times New Roman" w:eastAsia="仿宋_GB2312" w:cs="Times New Roman"/>
      <w:sz w:val="24"/>
      <w:szCs w:val="24"/>
    </w:rPr>
  </w:style>
  <w:style w:type="character" w:customStyle="1" w:styleId="35">
    <w:name w:val="正文文本缩进 Char"/>
    <w:basedOn w:val="22"/>
    <w:link w:val="8"/>
    <w:qFormat/>
    <w:uiPriority w:val="0"/>
    <w:rPr>
      <w:rFonts w:ascii="Times New Roman" w:hAnsi="Times New Roman" w:eastAsia="宋体" w:cs="Times New Roman"/>
      <w:sz w:val="24"/>
      <w:szCs w:val="24"/>
    </w:rPr>
  </w:style>
  <w:style w:type="paragraph" w:customStyle="1" w:styleId="36">
    <w:name w:val="TOC 标题1"/>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styleId="37">
    <w:name w:val="List Paragraph"/>
    <w:basedOn w:val="1"/>
    <w:qFormat/>
    <w:uiPriority w:val="1"/>
    <w:pPr>
      <w:spacing w:before="186"/>
      <w:ind w:left="1129" w:hanging="490"/>
    </w:pPr>
    <w:rPr>
      <w:rFonts w:ascii="宋体" w:hAnsi="宋体" w:eastAsia="宋体" w:cs="宋体"/>
      <w:lang w:val="zh-CN" w:eastAsia="zh-CN" w:bidi="zh-CN"/>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正文 New New New New New New New New New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40">
    <w:name w:val="正文 New"/>
    <w:qFormat/>
    <w:uiPriority w:val="99"/>
    <w:pPr>
      <w:widowControl w:val="0"/>
      <w:jc w:val="both"/>
    </w:pPr>
    <w:rPr>
      <w:rFonts w:ascii="Times New Roman" w:hAnsi="Times New Roman" w:eastAsia="宋体" w:cs="Times New Roman"/>
      <w:szCs w:val="24"/>
      <w:lang w:val="en-US" w:eastAsia="zh-CN" w:bidi="ar-SA"/>
    </w:rPr>
  </w:style>
  <w:style w:type="paragraph" w:customStyle="1" w:styleId="41">
    <w:name w:val="样式3"/>
    <w:basedOn w:val="11"/>
    <w:qFormat/>
    <w:uiPriority w:val="0"/>
    <w:pPr>
      <w:ind w:left="0" w:leftChars="0"/>
    </w:pPr>
    <w:rPr>
      <w:rFonts w:eastAsia="黑体"/>
      <w:bCs/>
      <w:shadow/>
      <w:kern w:val="0"/>
      <w:sz w:val="28"/>
      <w:szCs w:val="20"/>
    </w:rPr>
  </w:style>
  <w:style w:type="paragraph" w:customStyle="1" w:styleId="42">
    <w:name w:val="新表"/>
    <w:basedOn w:val="1"/>
    <w:qFormat/>
    <w:uiPriority w:val="0"/>
    <w:pPr>
      <w:spacing w:line="360" w:lineRule="exact"/>
    </w:pPr>
    <w:rPr>
      <w:rFonts w:ascii="Times New Roman" w:hAnsi="Times New Roman" w:eastAsia="仿宋_GB2312" w:cs="Times New Roman"/>
      <w:bCs/>
      <w:kern w:val="0"/>
      <w:sz w:val="24"/>
      <w:szCs w:val="20"/>
    </w:rPr>
  </w:style>
  <w:style w:type="paragraph" w:customStyle="1" w:styleId="43">
    <w:name w:val="表号"/>
    <w:basedOn w:val="1"/>
    <w:qFormat/>
    <w:uiPriority w:val="0"/>
    <w:rPr>
      <w:rFonts w:ascii="Times New Roman" w:hAnsi="Times New Roman" w:eastAsia="宋体" w:cs="Times New Roman"/>
      <w:szCs w:val="20"/>
    </w:rPr>
  </w:style>
  <w:style w:type="paragraph" w:customStyle="1" w:styleId="44">
    <w:name w:val="xl42"/>
    <w:basedOn w:val="1"/>
    <w:qFormat/>
    <w:uiPriority w:val="0"/>
    <w:pPr>
      <w:widowControl/>
      <w:pBdr>
        <w:bottom w:val="dotted" w:color="auto" w:sz="4" w:space="0"/>
        <w:right w:val="dotted"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45">
    <w:name w:val="xl39"/>
    <w:basedOn w:val="1"/>
    <w:qFormat/>
    <w:uiPriority w:val="0"/>
    <w:pPr>
      <w:widowControl/>
      <w:pBdr>
        <w:bottom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46">
    <w:name w:val="xl31"/>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Times New Roman"/>
      <w:kern w:val="0"/>
      <w:sz w:val="24"/>
      <w:szCs w:val="24"/>
    </w:rPr>
  </w:style>
  <w:style w:type="paragraph" w:customStyle="1" w:styleId="47">
    <w:name w:val="样式a"/>
    <w:basedOn w:val="1"/>
    <w:qFormat/>
    <w:uiPriority w:val="0"/>
    <w:pPr>
      <w:numPr>
        <w:ilvl w:val="0"/>
        <w:numId w:val="0"/>
      </w:numPr>
      <w:spacing w:line="480" w:lineRule="exact"/>
      <w:ind w:firstLine="560" w:firstLineChars="200"/>
      <w:textAlignment w:val="baseline"/>
    </w:pPr>
    <w:rPr>
      <w:rFonts w:ascii="Times New Roman"/>
      <w:kern w:val="0"/>
      <w:szCs w:val="20"/>
    </w:rPr>
  </w:style>
  <w:style w:type="paragraph" w:customStyle="1" w:styleId="48">
    <w:name w:val="T表格"/>
    <w:qFormat/>
    <w:uiPriority w:val="0"/>
    <w:pPr>
      <w:spacing w:line="300" w:lineRule="exact"/>
      <w:jc w:val="center"/>
    </w:pPr>
    <w:rPr>
      <w:rFonts w:ascii="仿宋_GB2312" w:hAnsi="Times New Roman" w:eastAsia="仿宋_GB2312"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oleObject" Target="embeddings/oleObject4.bin"/><Relationship Id="rId22" Type="http://schemas.openxmlformats.org/officeDocument/2006/relationships/image" Target="media/image10.wmf"/><Relationship Id="rId21" Type="http://schemas.openxmlformats.org/officeDocument/2006/relationships/oleObject" Target="embeddings/oleObject3.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244"/>
    <customShpInfo spid="_x0000_s1257"/>
    <customShpInfo spid="_x0000_s1258"/>
    <customShpInfo spid="_x0000_s1255"/>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FCC973-A5D3-4EEC-AD49-2402ED60208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62</Pages>
  <Words>26208</Words>
  <Characters>31568</Characters>
  <Lines>145</Lines>
  <Paragraphs>41</Paragraphs>
  <TotalTime>1</TotalTime>
  <ScaleCrop>false</ScaleCrop>
  <LinksUpToDate>false</LinksUpToDate>
  <CharactersWithSpaces>32754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2018-12-13T03:36:00Z</dcterms:created>
  <dc:creator>Administrator</dc:creator>
  <cp:lastModifiedBy>Jesse</cp:lastModifiedBy>
  <cp:lastPrinted>2020-07-20T08:37:00Z</cp:lastPrinted>
  <dcterms:modified xsi:type="dcterms:W3CDTF">2021-08-10T01:09:05Z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37446B8E8D5F456C921475269DAC35F7</vt:lpwstr>
  </property>
</Properties>
</file>